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B" w:rsidRDefault="0013376F" w:rsidP="00154716">
      <w:pPr>
        <w:pStyle w:val="BodyText"/>
        <w:rPr>
          <w:rFonts w:ascii="Arial" w:hAnsi="Arial"/>
          <w:b/>
          <w:sz w:val="32"/>
          <w:szCs w:val="32"/>
        </w:rPr>
      </w:pPr>
      <w:r>
        <w:rPr>
          <w:rFonts w:ascii="Arial" w:hAnsi="Arial"/>
          <w:b/>
          <w:sz w:val="32"/>
          <w:szCs w:val="32"/>
        </w:rPr>
        <w:t>Appendix 'A'</w:t>
      </w:r>
    </w:p>
    <w:p w:rsidR="00D77E7B" w:rsidRDefault="0013376F" w:rsidP="00154716">
      <w:pPr>
        <w:pStyle w:val="BodyText"/>
        <w:rPr>
          <w:rFonts w:ascii="Arial" w:hAnsi="Arial"/>
          <w:b/>
          <w:sz w:val="32"/>
          <w:szCs w:val="32"/>
        </w:rPr>
      </w:pPr>
    </w:p>
    <w:p w:rsidR="00D77E7B" w:rsidRPr="0016753A" w:rsidRDefault="0013376F" w:rsidP="00154716">
      <w:pPr>
        <w:pStyle w:val="BodyText"/>
        <w:rPr>
          <w:rFonts w:ascii="Arial" w:hAnsi="Arial"/>
          <w:b/>
          <w:sz w:val="36"/>
          <w:szCs w:val="36"/>
        </w:rPr>
      </w:pPr>
      <w:r w:rsidRPr="0016753A">
        <w:rPr>
          <w:rFonts w:ascii="Arial" w:hAnsi="Arial"/>
          <w:b/>
          <w:sz w:val="36"/>
          <w:szCs w:val="36"/>
        </w:rPr>
        <w:t>Lan</w:t>
      </w:r>
      <w:bookmarkStart w:id="0" w:name="_GoBack"/>
      <w:bookmarkEnd w:id="0"/>
      <w:r w:rsidRPr="0016753A">
        <w:rPr>
          <w:rFonts w:ascii="Arial" w:hAnsi="Arial"/>
          <w:b/>
          <w:sz w:val="36"/>
          <w:szCs w:val="36"/>
        </w:rPr>
        <w:t>cashire Pension Fund</w:t>
      </w:r>
    </w:p>
    <w:p w:rsidR="0016753A" w:rsidRDefault="0013376F" w:rsidP="00154716">
      <w:pPr>
        <w:pStyle w:val="BodyText"/>
        <w:rPr>
          <w:rFonts w:ascii="Arial" w:hAnsi="Arial"/>
          <w:b/>
          <w:sz w:val="32"/>
          <w:szCs w:val="32"/>
        </w:rPr>
      </w:pPr>
    </w:p>
    <w:p w:rsidR="00A5548F" w:rsidRDefault="0013376F" w:rsidP="00154716">
      <w:pPr>
        <w:pStyle w:val="BodyText"/>
        <w:rPr>
          <w:rFonts w:ascii="Arial" w:hAnsi="Arial"/>
          <w:b/>
          <w:sz w:val="32"/>
          <w:szCs w:val="32"/>
        </w:rPr>
      </w:pPr>
      <w:r>
        <w:rPr>
          <w:rFonts w:ascii="Arial" w:hAnsi="Arial"/>
          <w:b/>
          <w:sz w:val="32"/>
          <w:szCs w:val="32"/>
        </w:rPr>
        <w:t>A</w:t>
      </w:r>
      <w:r w:rsidRPr="008816D0">
        <w:rPr>
          <w:rFonts w:ascii="Arial" w:hAnsi="Arial"/>
          <w:b/>
          <w:sz w:val="32"/>
          <w:szCs w:val="32"/>
        </w:rPr>
        <w:t>nnual report</w:t>
      </w:r>
      <w:r>
        <w:rPr>
          <w:rFonts w:ascii="Arial" w:hAnsi="Arial"/>
          <w:b/>
          <w:sz w:val="32"/>
          <w:szCs w:val="32"/>
        </w:rPr>
        <w:t xml:space="preserve"> </w:t>
      </w:r>
      <w:r>
        <w:rPr>
          <w:rFonts w:ascii="Arial" w:hAnsi="Arial"/>
          <w:b/>
          <w:sz w:val="32"/>
          <w:szCs w:val="32"/>
        </w:rPr>
        <w:t xml:space="preserve">of the head of internal audit for the year ended 31 March </w:t>
      </w:r>
      <w:r>
        <w:rPr>
          <w:rFonts w:ascii="Arial" w:hAnsi="Arial"/>
          <w:b/>
          <w:sz w:val="32"/>
          <w:szCs w:val="32"/>
        </w:rPr>
        <w:t>201</w:t>
      </w:r>
      <w:r>
        <w:rPr>
          <w:rFonts w:ascii="Arial" w:hAnsi="Arial"/>
          <w:b/>
          <w:sz w:val="32"/>
          <w:szCs w:val="32"/>
        </w:rPr>
        <w:t>6</w:t>
      </w:r>
      <w:r>
        <w:rPr>
          <w:rFonts w:ascii="Arial" w:hAnsi="Arial"/>
          <w:b/>
          <w:sz w:val="32"/>
          <w:szCs w:val="32"/>
        </w:rPr>
        <w:t xml:space="preserve"> and</w:t>
      </w:r>
      <w:r>
        <w:rPr>
          <w:rFonts w:ascii="Arial" w:hAnsi="Arial"/>
          <w:b/>
          <w:sz w:val="32"/>
          <w:szCs w:val="32"/>
        </w:rPr>
        <w:t xml:space="preserve"> </w:t>
      </w:r>
      <w:r>
        <w:rPr>
          <w:rFonts w:ascii="Arial" w:hAnsi="Arial"/>
          <w:b/>
          <w:sz w:val="32"/>
          <w:szCs w:val="32"/>
        </w:rPr>
        <w:t>the au</w:t>
      </w:r>
      <w:r>
        <w:rPr>
          <w:rFonts w:ascii="Arial" w:hAnsi="Arial"/>
          <w:b/>
          <w:sz w:val="32"/>
          <w:szCs w:val="32"/>
        </w:rPr>
        <w:t xml:space="preserve">dit plan </w:t>
      </w:r>
      <w:r>
        <w:rPr>
          <w:rFonts w:ascii="Arial" w:hAnsi="Arial"/>
          <w:b/>
          <w:sz w:val="32"/>
          <w:szCs w:val="32"/>
        </w:rPr>
        <w:t xml:space="preserve">for </w:t>
      </w:r>
      <w:r>
        <w:rPr>
          <w:rFonts w:ascii="Arial" w:hAnsi="Arial"/>
          <w:b/>
          <w:sz w:val="32"/>
          <w:szCs w:val="32"/>
        </w:rPr>
        <w:t>2016/17</w:t>
      </w: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1E543A" w:rsidRDefault="0013376F" w:rsidP="00154716">
      <w:pPr>
        <w:pStyle w:val="BodyText"/>
        <w:rPr>
          <w:rFonts w:ascii="Arial" w:hAnsi="Arial"/>
          <w:b/>
          <w:sz w:val="32"/>
          <w:szCs w:val="32"/>
        </w:rPr>
      </w:pPr>
    </w:p>
    <w:p w:rsidR="001E543A" w:rsidRDefault="0013376F" w:rsidP="00154716">
      <w:pPr>
        <w:pStyle w:val="BodyText"/>
        <w:rPr>
          <w:rFonts w:ascii="Arial" w:hAnsi="Arial"/>
          <w:b/>
          <w:sz w:val="32"/>
          <w:szCs w:val="32"/>
        </w:rPr>
      </w:pPr>
    </w:p>
    <w:p w:rsidR="00D77E7B" w:rsidRDefault="0013376F" w:rsidP="00154716">
      <w:pPr>
        <w:pStyle w:val="BodyText"/>
        <w:rPr>
          <w:rFonts w:ascii="Arial" w:hAnsi="Arial"/>
          <w:b/>
          <w:sz w:val="32"/>
          <w:szCs w:val="32"/>
        </w:rPr>
      </w:pPr>
    </w:p>
    <w:p w:rsidR="00D77E7B" w:rsidRDefault="0013376F" w:rsidP="00154716">
      <w:pPr>
        <w:pStyle w:val="BodyText"/>
        <w:ind w:left="4320" w:firstLine="720"/>
        <w:rPr>
          <w:rFonts w:ascii="Arial" w:hAnsi="Arial"/>
          <w:b/>
          <w:sz w:val="32"/>
          <w:szCs w:val="32"/>
        </w:rPr>
      </w:pPr>
      <w:r>
        <w:rPr>
          <w:b/>
          <w:noProof/>
          <w:position w:val="100"/>
          <w:sz w:val="28"/>
          <w:szCs w:val="28"/>
          <w:lang w:eastAsia="en-GB"/>
        </w:rPr>
        <w:drawing>
          <wp:inline distT="0" distB="0" distL="0" distR="0">
            <wp:extent cx="2333625" cy="1162050"/>
            <wp:effectExtent l="19050" t="0" r="9525" b="0"/>
            <wp:docPr id="1" name="Picture 1" descr="LCC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for A4"/>
                    <pic:cNvPicPr>
                      <a:picLocks noChangeAspect="1" noChangeArrowheads="1"/>
                    </pic:cNvPicPr>
                  </pic:nvPicPr>
                  <pic:blipFill>
                    <a:blip r:embed="rId8"/>
                    <a:stretch>
                      <a:fillRect/>
                    </a:stretch>
                  </pic:blipFill>
                  <pic:spPr bwMode="auto">
                    <a:xfrm>
                      <a:off x="0" y="0"/>
                      <a:ext cx="2333625" cy="1162050"/>
                    </a:xfrm>
                    <a:prstGeom prst="rect">
                      <a:avLst/>
                    </a:prstGeom>
                    <a:noFill/>
                    <a:ln w="9525">
                      <a:noFill/>
                      <a:miter lim="800000"/>
                      <a:headEnd/>
                      <a:tailEnd/>
                    </a:ln>
                  </pic:spPr>
                </pic:pic>
              </a:graphicData>
            </a:graphic>
          </wp:inline>
        </w:drawing>
      </w:r>
    </w:p>
    <w:p w:rsidR="00D77E7B" w:rsidRDefault="0013376F" w:rsidP="00154716">
      <w:pPr>
        <w:pStyle w:val="BodyText"/>
        <w:rPr>
          <w:rFonts w:ascii="Arial" w:hAnsi="Arial"/>
          <w:b/>
          <w:sz w:val="32"/>
          <w:szCs w:val="32"/>
        </w:rPr>
      </w:pPr>
    </w:p>
    <w:p w:rsidR="00D77E7B" w:rsidRDefault="0013376F" w:rsidP="00154716">
      <w:pPr>
        <w:pStyle w:val="BodyText"/>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662"/>
        <w:gridCol w:w="1134"/>
      </w:tblGrid>
      <w:tr w:rsidR="004508A8" w:rsidTr="008E6CAD">
        <w:tc>
          <w:tcPr>
            <w:tcW w:w="392" w:type="dxa"/>
          </w:tcPr>
          <w:p w:rsidR="000F1C56" w:rsidRPr="008E6CAD" w:rsidRDefault="0013376F" w:rsidP="00154716">
            <w:pPr>
              <w:spacing w:before="120" w:after="120" w:line="240" w:lineRule="auto"/>
              <w:ind w:left="360"/>
              <w:rPr>
                <w:rFonts w:ascii="Arial" w:hAnsi="Arial" w:cs="Arial"/>
                <w:b/>
                <w:sz w:val="24"/>
                <w:szCs w:val="24"/>
              </w:rPr>
            </w:pPr>
          </w:p>
        </w:tc>
        <w:tc>
          <w:tcPr>
            <w:tcW w:w="6662" w:type="dxa"/>
          </w:tcPr>
          <w:p w:rsidR="000F1C56" w:rsidRPr="008E6CAD" w:rsidRDefault="0013376F" w:rsidP="00154716">
            <w:pPr>
              <w:spacing w:before="120" w:after="120" w:line="240" w:lineRule="auto"/>
              <w:rPr>
                <w:rFonts w:ascii="Arial" w:hAnsi="Arial" w:cs="Arial"/>
                <w:b/>
                <w:sz w:val="24"/>
                <w:szCs w:val="24"/>
              </w:rPr>
            </w:pPr>
            <w:r w:rsidRPr="008E6CAD">
              <w:rPr>
                <w:rFonts w:ascii="Arial" w:hAnsi="Arial" w:cs="Arial"/>
                <w:b/>
                <w:sz w:val="24"/>
                <w:szCs w:val="24"/>
              </w:rPr>
              <w:t>Section</w:t>
            </w:r>
          </w:p>
        </w:tc>
        <w:tc>
          <w:tcPr>
            <w:tcW w:w="1134" w:type="dxa"/>
          </w:tcPr>
          <w:p w:rsidR="000F1C56" w:rsidRPr="008E6CAD" w:rsidRDefault="0013376F" w:rsidP="00154716">
            <w:pPr>
              <w:spacing w:before="120" w:after="120" w:line="240" w:lineRule="auto"/>
              <w:jc w:val="center"/>
              <w:rPr>
                <w:rFonts w:ascii="Arial" w:hAnsi="Arial" w:cs="Arial"/>
                <w:b/>
                <w:sz w:val="24"/>
                <w:szCs w:val="24"/>
              </w:rPr>
            </w:pPr>
            <w:r w:rsidRPr="008E6CAD">
              <w:rPr>
                <w:rFonts w:ascii="Arial" w:hAnsi="Arial" w:cs="Arial"/>
                <w:b/>
                <w:sz w:val="24"/>
                <w:szCs w:val="24"/>
              </w:rPr>
              <w:t>Page</w:t>
            </w:r>
          </w:p>
        </w:tc>
      </w:tr>
      <w:tr w:rsidR="004508A8" w:rsidTr="008E6CAD">
        <w:tc>
          <w:tcPr>
            <w:tcW w:w="392" w:type="dxa"/>
          </w:tcPr>
          <w:p w:rsidR="000F1C56" w:rsidRPr="008E6CAD" w:rsidRDefault="0013376F"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13376F" w:rsidP="00154716">
            <w:pPr>
              <w:spacing w:before="120" w:after="120" w:line="240" w:lineRule="auto"/>
              <w:rPr>
                <w:rFonts w:ascii="Arial" w:hAnsi="Arial" w:cs="Arial"/>
                <w:sz w:val="24"/>
                <w:szCs w:val="24"/>
              </w:rPr>
            </w:pPr>
            <w:r w:rsidRPr="008E6CAD">
              <w:rPr>
                <w:rFonts w:ascii="Arial" w:hAnsi="Arial" w:cs="Arial"/>
                <w:sz w:val="24"/>
                <w:szCs w:val="24"/>
              </w:rPr>
              <w:t>Introduction</w:t>
            </w:r>
          </w:p>
        </w:tc>
        <w:tc>
          <w:tcPr>
            <w:tcW w:w="1134" w:type="dxa"/>
          </w:tcPr>
          <w:p w:rsidR="000F1C56" w:rsidRPr="008E6CAD" w:rsidRDefault="0013376F" w:rsidP="00154716">
            <w:pPr>
              <w:spacing w:before="120" w:after="120" w:line="240" w:lineRule="auto"/>
              <w:jc w:val="center"/>
              <w:rPr>
                <w:rFonts w:ascii="Arial" w:hAnsi="Arial" w:cs="Arial"/>
                <w:sz w:val="24"/>
                <w:szCs w:val="24"/>
              </w:rPr>
            </w:pPr>
            <w:r w:rsidRPr="008E6CAD">
              <w:rPr>
                <w:rFonts w:ascii="Arial" w:hAnsi="Arial" w:cs="Arial"/>
                <w:sz w:val="24"/>
                <w:szCs w:val="24"/>
              </w:rPr>
              <w:t>1</w:t>
            </w:r>
          </w:p>
        </w:tc>
      </w:tr>
      <w:tr w:rsidR="004508A8" w:rsidTr="008E6CAD">
        <w:tc>
          <w:tcPr>
            <w:tcW w:w="392" w:type="dxa"/>
          </w:tcPr>
          <w:p w:rsidR="000F1C56" w:rsidRPr="008E6CAD" w:rsidRDefault="0013376F"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13376F" w:rsidP="00154716">
            <w:pPr>
              <w:spacing w:before="120" w:after="120" w:line="240" w:lineRule="auto"/>
              <w:rPr>
                <w:rFonts w:ascii="Arial" w:hAnsi="Arial" w:cs="Arial"/>
                <w:sz w:val="24"/>
                <w:szCs w:val="24"/>
              </w:rPr>
            </w:pPr>
            <w:r>
              <w:rPr>
                <w:rFonts w:ascii="Arial" w:hAnsi="Arial" w:cs="Arial"/>
                <w:sz w:val="24"/>
                <w:szCs w:val="24"/>
              </w:rPr>
              <w:t>Overall opinion on governance, risk management and internal control</w:t>
            </w:r>
          </w:p>
        </w:tc>
        <w:tc>
          <w:tcPr>
            <w:tcW w:w="1134" w:type="dxa"/>
          </w:tcPr>
          <w:p w:rsidR="000F1C56" w:rsidRPr="008E6CAD" w:rsidRDefault="0013376F" w:rsidP="00154716">
            <w:pPr>
              <w:spacing w:before="120" w:after="120" w:line="240" w:lineRule="auto"/>
              <w:jc w:val="center"/>
              <w:rPr>
                <w:rFonts w:ascii="Arial" w:hAnsi="Arial" w:cs="Arial"/>
                <w:sz w:val="24"/>
                <w:szCs w:val="24"/>
              </w:rPr>
            </w:pPr>
            <w:r>
              <w:rPr>
                <w:rFonts w:ascii="Arial" w:hAnsi="Arial" w:cs="Arial"/>
                <w:sz w:val="24"/>
                <w:szCs w:val="24"/>
              </w:rPr>
              <w:t>2</w:t>
            </w:r>
          </w:p>
        </w:tc>
      </w:tr>
      <w:tr w:rsidR="004508A8" w:rsidTr="008E6CAD">
        <w:tc>
          <w:tcPr>
            <w:tcW w:w="392" w:type="dxa"/>
          </w:tcPr>
          <w:p w:rsidR="000F1C56" w:rsidRPr="008E6CAD" w:rsidRDefault="0013376F" w:rsidP="00154716">
            <w:pPr>
              <w:pStyle w:val="ListParagraph"/>
              <w:numPr>
                <w:ilvl w:val="0"/>
                <w:numId w:val="4"/>
              </w:numPr>
              <w:spacing w:before="120" w:after="120"/>
              <w:ind w:left="0" w:firstLine="0"/>
              <w:contextualSpacing w:val="0"/>
              <w:rPr>
                <w:rFonts w:cs="Arial"/>
              </w:rPr>
            </w:pPr>
          </w:p>
        </w:tc>
        <w:tc>
          <w:tcPr>
            <w:tcW w:w="6662" w:type="dxa"/>
          </w:tcPr>
          <w:p w:rsidR="000F1C56" w:rsidRPr="008E6CAD" w:rsidRDefault="0013376F" w:rsidP="00154716">
            <w:pPr>
              <w:spacing w:before="120" w:after="120" w:line="240" w:lineRule="auto"/>
              <w:rPr>
                <w:rFonts w:ascii="Arial" w:hAnsi="Arial" w:cs="Arial"/>
                <w:sz w:val="24"/>
                <w:szCs w:val="24"/>
              </w:rPr>
            </w:pPr>
            <w:r>
              <w:rPr>
                <w:rFonts w:ascii="Arial" w:hAnsi="Arial" w:cs="Arial"/>
                <w:sz w:val="24"/>
                <w:szCs w:val="24"/>
              </w:rPr>
              <w:t>Findings of internal audit work undertaken during the year</w:t>
            </w:r>
          </w:p>
        </w:tc>
        <w:tc>
          <w:tcPr>
            <w:tcW w:w="1134" w:type="dxa"/>
          </w:tcPr>
          <w:p w:rsidR="000F1C56" w:rsidRPr="008E6CAD" w:rsidRDefault="0013376F" w:rsidP="00154716">
            <w:pPr>
              <w:spacing w:before="120" w:after="120" w:line="240" w:lineRule="auto"/>
              <w:jc w:val="center"/>
              <w:rPr>
                <w:rFonts w:ascii="Arial" w:hAnsi="Arial" w:cs="Arial"/>
                <w:sz w:val="24"/>
                <w:szCs w:val="24"/>
              </w:rPr>
            </w:pPr>
            <w:r w:rsidRPr="008E6CAD">
              <w:rPr>
                <w:rFonts w:ascii="Arial" w:hAnsi="Arial" w:cs="Arial"/>
                <w:sz w:val="24"/>
                <w:szCs w:val="24"/>
              </w:rPr>
              <w:t>2</w:t>
            </w:r>
          </w:p>
        </w:tc>
      </w:tr>
      <w:tr w:rsidR="004508A8" w:rsidTr="008E6CAD">
        <w:tc>
          <w:tcPr>
            <w:tcW w:w="392" w:type="dxa"/>
          </w:tcPr>
          <w:p w:rsidR="0056672A" w:rsidRPr="008E6CAD" w:rsidRDefault="0013376F" w:rsidP="00154716">
            <w:pPr>
              <w:pStyle w:val="ListParagraph"/>
              <w:numPr>
                <w:ilvl w:val="0"/>
                <w:numId w:val="4"/>
              </w:numPr>
              <w:spacing w:before="120" w:after="120"/>
              <w:ind w:left="0" w:firstLine="0"/>
              <w:contextualSpacing w:val="0"/>
              <w:rPr>
                <w:rFonts w:cs="Arial"/>
              </w:rPr>
            </w:pPr>
          </w:p>
        </w:tc>
        <w:tc>
          <w:tcPr>
            <w:tcW w:w="6662" w:type="dxa"/>
          </w:tcPr>
          <w:p w:rsidR="0056672A" w:rsidRPr="008E6CAD" w:rsidRDefault="0013376F" w:rsidP="00154716">
            <w:pPr>
              <w:spacing w:before="120" w:after="120" w:line="240" w:lineRule="auto"/>
              <w:rPr>
                <w:rFonts w:ascii="Arial" w:hAnsi="Arial" w:cs="Arial"/>
                <w:sz w:val="24"/>
                <w:szCs w:val="24"/>
              </w:rPr>
            </w:pPr>
            <w:r w:rsidRPr="008E6CAD">
              <w:rPr>
                <w:rFonts w:ascii="Arial" w:hAnsi="Arial" w:cs="Arial"/>
                <w:sz w:val="24"/>
                <w:szCs w:val="24"/>
              </w:rPr>
              <w:t>Internal audit plan 201</w:t>
            </w:r>
            <w:r>
              <w:rPr>
                <w:rFonts w:ascii="Arial" w:hAnsi="Arial" w:cs="Arial"/>
                <w:sz w:val="24"/>
                <w:szCs w:val="24"/>
              </w:rPr>
              <w:t>6</w:t>
            </w:r>
            <w:r w:rsidRPr="008E6CAD">
              <w:rPr>
                <w:rFonts w:ascii="Arial" w:hAnsi="Arial" w:cs="Arial"/>
                <w:sz w:val="24"/>
                <w:szCs w:val="24"/>
              </w:rPr>
              <w:t>/1</w:t>
            </w:r>
            <w:r>
              <w:rPr>
                <w:rFonts w:ascii="Arial" w:hAnsi="Arial" w:cs="Arial"/>
                <w:sz w:val="24"/>
                <w:szCs w:val="24"/>
              </w:rPr>
              <w:t>7</w:t>
            </w:r>
          </w:p>
        </w:tc>
        <w:tc>
          <w:tcPr>
            <w:tcW w:w="1134" w:type="dxa"/>
          </w:tcPr>
          <w:p w:rsidR="0056672A" w:rsidRPr="008E6CAD" w:rsidRDefault="0013376F" w:rsidP="00154716">
            <w:pPr>
              <w:spacing w:before="120" w:after="120" w:line="240" w:lineRule="auto"/>
              <w:jc w:val="center"/>
              <w:rPr>
                <w:rFonts w:ascii="Arial" w:hAnsi="Arial" w:cs="Arial"/>
                <w:sz w:val="24"/>
                <w:szCs w:val="24"/>
              </w:rPr>
            </w:pPr>
            <w:r>
              <w:rPr>
                <w:rFonts w:ascii="Arial" w:hAnsi="Arial" w:cs="Arial"/>
                <w:sz w:val="24"/>
                <w:szCs w:val="24"/>
              </w:rPr>
              <w:t>5</w:t>
            </w:r>
          </w:p>
        </w:tc>
      </w:tr>
      <w:tr w:rsidR="004508A8" w:rsidTr="008E6CAD">
        <w:tc>
          <w:tcPr>
            <w:tcW w:w="392" w:type="dxa"/>
          </w:tcPr>
          <w:p w:rsidR="00AF15FA" w:rsidRPr="008E6CAD" w:rsidRDefault="0013376F" w:rsidP="00154716">
            <w:pPr>
              <w:pStyle w:val="ListParagraph"/>
              <w:numPr>
                <w:ilvl w:val="0"/>
                <w:numId w:val="4"/>
              </w:numPr>
              <w:spacing w:before="120" w:after="120"/>
              <w:ind w:left="0" w:firstLine="0"/>
              <w:contextualSpacing w:val="0"/>
              <w:rPr>
                <w:rFonts w:cs="Arial"/>
              </w:rPr>
            </w:pPr>
          </w:p>
        </w:tc>
        <w:tc>
          <w:tcPr>
            <w:tcW w:w="6662" w:type="dxa"/>
          </w:tcPr>
          <w:p w:rsidR="00AF15FA" w:rsidRPr="008E6CAD" w:rsidRDefault="0013376F" w:rsidP="00154716">
            <w:pPr>
              <w:spacing w:before="120" w:after="120" w:line="240" w:lineRule="auto"/>
              <w:rPr>
                <w:rFonts w:ascii="Arial" w:hAnsi="Arial" w:cs="Arial"/>
                <w:sz w:val="24"/>
                <w:szCs w:val="24"/>
              </w:rPr>
            </w:pPr>
            <w:r w:rsidRPr="008E6CAD">
              <w:rPr>
                <w:rFonts w:ascii="Arial" w:hAnsi="Arial" w:cs="Arial"/>
                <w:sz w:val="24"/>
                <w:szCs w:val="24"/>
              </w:rPr>
              <w:t>Internal audit quality assurance and improvement</w:t>
            </w:r>
          </w:p>
        </w:tc>
        <w:tc>
          <w:tcPr>
            <w:tcW w:w="1134" w:type="dxa"/>
          </w:tcPr>
          <w:p w:rsidR="00AF15FA" w:rsidRPr="008E6CAD" w:rsidRDefault="0013376F" w:rsidP="00154716">
            <w:pPr>
              <w:spacing w:before="120" w:after="120" w:line="240" w:lineRule="auto"/>
              <w:jc w:val="center"/>
              <w:rPr>
                <w:rFonts w:ascii="Arial" w:hAnsi="Arial" w:cs="Arial"/>
                <w:sz w:val="24"/>
                <w:szCs w:val="24"/>
              </w:rPr>
            </w:pPr>
            <w:r>
              <w:rPr>
                <w:rFonts w:ascii="Arial" w:hAnsi="Arial" w:cs="Arial"/>
                <w:sz w:val="24"/>
                <w:szCs w:val="24"/>
              </w:rPr>
              <w:t>6</w:t>
            </w:r>
          </w:p>
        </w:tc>
      </w:tr>
      <w:tr w:rsidR="004508A8" w:rsidTr="008E6CAD">
        <w:tc>
          <w:tcPr>
            <w:tcW w:w="392" w:type="dxa"/>
          </w:tcPr>
          <w:p w:rsidR="0056672A" w:rsidRPr="008E6CAD" w:rsidRDefault="0013376F" w:rsidP="00154716">
            <w:pPr>
              <w:spacing w:before="120" w:after="120"/>
              <w:ind w:left="360"/>
              <w:rPr>
                <w:rFonts w:cs="Arial"/>
              </w:rPr>
            </w:pPr>
          </w:p>
        </w:tc>
        <w:tc>
          <w:tcPr>
            <w:tcW w:w="6662" w:type="dxa"/>
          </w:tcPr>
          <w:p w:rsidR="0056672A" w:rsidRPr="008E6CAD" w:rsidRDefault="0013376F" w:rsidP="00154716">
            <w:pPr>
              <w:spacing w:before="120" w:after="120" w:line="240" w:lineRule="auto"/>
              <w:rPr>
                <w:rFonts w:ascii="Arial" w:hAnsi="Arial" w:cs="Arial"/>
                <w:sz w:val="24"/>
                <w:szCs w:val="24"/>
              </w:rPr>
            </w:pPr>
          </w:p>
        </w:tc>
        <w:tc>
          <w:tcPr>
            <w:tcW w:w="1134" w:type="dxa"/>
          </w:tcPr>
          <w:p w:rsidR="0056672A" w:rsidRPr="008E6CAD" w:rsidRDefault="0013376F" w:rsidP="00154716">
            <w:pPr>
              <w:spacing w:before="120" w:after="120" w:line="240" w:lineRule="auto"/>
              <w:jc w:val="center"/>
              <w:rPr>
                <w:rFonts w:ascii="Arial" w:hAnsi="Arial" w:cs="Arial"/>
                <w:sz w:val="24"/>
                <w:szCs w:val="24"/>
              </w:rPr>
            </w:pPr>
          </w:p>
        </w:tc>
      </w:tr>
      <w:tr w:rsidR="004508A8" w:rsidTr="008E6CAD">
        <w:tc>
          <w:tcPr>
            <w:tcW w:w="392" w:type="dxa"/>
          </w:tcPr>
          <w:p w:rsidR="000F1C56" w:rsidRPr="008E6CAD" w:rsidRDefault="0013376F" w:rsidP="00154716">
            <w:pPr>
              <w:spacing w:before="120" w:after="120"/>
              <w:ind w:left="360"/>
              <w:rPr>
                <w:rFonts w:cs="Arial"/>
              </w:rPr>
            </w:pPr>
          </w:p>
        </w:tc>
        <w:tc>
          <w:tcPr>
            <w:tcW w:w="6662" w:type="dxa"/>
          </w:tcPr>
          <w:p w:rsidR="000F1C56" w:rsidRPr="008E6CAD" w:rsidRDefault="0013376F" w:rsidP="00154716">
            <w:pPr>
              <w:spacing w:before="120" w:after="120" w:line="240" w:lineRule="auto"/>
              <w:rPr>
                <w:rFonts w:ascii="Arial" w:hAnsi="Arial" w:cs="Arial"/>
                <w:sz w:val="24"/>
                <w:szCs w:val="24"/>
              </w:rPr>
            </w:pPr>
            <w:r w:rsidRPr="008E6CAD">
              <w:rPr>
                <w:rFonts w:ascii="Arial" w:hAnsi="Arial" w:cs="Arial"/>
                <w:sz w:val="24"/>
                <w:szCs w:val="24"/>
              </w:rPr>
              <w:t>Annex A: Scope, responsibilities and assurance</w:t>
            </w:r>
          </w:p>
        </w:tc>
        <w:tc>
          <w:tcPr>
            <w:tcW w:w="1134" w:type="dxa"/>
          </w:tcPr>
          <w:p w:rsidR="000F1C56" w:rsidRPr="008E6CAD" w:rsidRDefault="0013376F" w:rsidP="00154716">
            <w:pPr>
              <w:spacing w:before="120" w:after="120" w:line="240" w:lineRule="auto"/>
              <w:jc w:val="center"/>
              <w:rPr>
                <w:rFonts w:ascii="Arial" w:hAnsi="Arial" w:cs="Arial"/>
                <w:sz w:val="24"/>
                <w:szCs w:val="24"/>
              </w:rPr>
            </w:pPr>
            <w:r>
              <w:rPr>
                <w:rFonts w:ascii="Arial" w:hAnsi="Arial" w:cs="Arial"/>
                <w:sz w:val="24"/>
                <w:szCs w:val="24"/>
              </w:rPr>
              <w:t>7</w:t>
            </w:r>
          </w:p>
        </w:tc>
      </w:tr>
      <w:tr w:rsidR="004508A8" w:rsidTr="008E6CAD">
        <w:tc>
          <w:tcPr>
            <w:tcW w:w="392" w:type="dxa"/>
          </w:tcPr>
          <w:p w:rsidR="00F57F94" w:rsidRPr="008E6CAD" w:rsidRDefault="0013376F" w:rsidP="00154716">
            <w:pPr>
              <w:spacing w:before="120" w:after="120"/>
              <w:ind w:left="360"/>
              <w:rPr>
                <w:rFonts w:cs="Arial"/>
              </w:rPr>
            </w:pPr>
          </w:p>
        </w:tc>
        <w:tc>
          <w:tcPr>
            <w:tcW w:w="6662" w:type="dxa"/>
          </w:tcPr>
          <w:p w:rsidR="00F57F94" w:rsidRPr="008E6CAD" w:rsidRDefault="0013376F" w:rsidP="00154716">
            <w:pPr>
              <w:spacing w:before="120" w:after="120" w:line="240" w:lineRule="auto"/>
              <w:rPr>
                <w:rFonts w:ascii="Arial" w:hAnsi="Arial" w:cs="Arial"/>
                <w:sz w:val="24"/>
                <w:szCs w:val="24"/>
              </w:rPr>
            </w:pPr>
            <w:r w:rsidRPr="008E6CAD">
              <w:rPr>
                <w:rFonts w:ascii="Arial" w:hAnsi="Arial" w:cs="Arial"/>
                <w:sz w:val="24"/>
                <w:szCs w:val="24"/>
              </w:rPr>
              <w:t>Annex B: Audit assurance levels</w:t>
            </w:r>
            <w:r>
              <w:rPr>
                <w:rFonts w:ascii="Arial" w:hAnsi="Arial" w:cs="Arial"/>
                <w:sz w:val="24"/>
                <w:szCs w:val="24"/>
              </w:rPr>
              <w:t xml:space="preserve"> and classification of agreed actions</w:t>
            </w:r>
          </w:p>
        </w:tc>
        <w:tc>
          <w:tcPr>
            <w:tcW w:w="1134" w:type="dxa"/>
          </w:tcPr>
          <w:p w:rsidR="00F57F94" w:rsidRPr="008E6CAD" w:rsidRDefault="0013376F" w:rsidP="005A35FF">
            <w:pPr>
              <w:spacing w:before="120" w:after="120" w:line="240" w:lineRule="auto"/>
              <w:jc w:val="center"/>
              <w:rPr>
                <w:rFonts w:ascii="Arial" w:hAnsi="Arial" w:cs="Arial"/>
                <w:sz w:val="24"/>
                <w:szCs w:val="24"/>
              </w:rPr>
            </w:pPr>
            <w:r>
              <w:rPr>
                <w:rFonts w:ascii="Arial" w:hAnsi="Arial" w:cs="Arial"/>
                <w:sz w:val="24"/>
                <w:szCs w:val="24"/>
              </w:rPr>
              <w:t>10</w:t>
            </w:r>
          </w:p>
        </w:tc>
      </w:tr>
    </w:tbl>
    <w:p w:rsidR="00D77E7B" w:rsidRPr="00344BD8" w:rsidRDefault="0013376F" w:rsidP="00154716">
      <w:pPr>
        <w:rPr>
          <w:rFonts w:ascii="Arial" w:hAnsi="Arial" w:cs="Arial"/>
          <w:sz w:val="24"/>
          <w:szCs w:val="24"/>
        </w:rPr>
      </w:pPr>
    </w:p>
    <w:p w:rsidR="00D77E7B" w:rsidRPr="001E543A" w:rsidRDefault="0013376F" w:rsidP="00154716">
      <w:pPr>
        <w:pStyle w:val="BodyText"/>
        <w:rPr>
          <w:rFonts w:ascii="Arial" w:hAnsi="Arial"/>
          <w:sz w:val="24"/>
        </w:rPr>
      </w:pPr>
    </w:p>
    <w:p w:rsidR="00D77E7B" w:rsidRDefault="0013376F" w:rsidP="00154716">
      <w:pPr>
        <w:pStyle w:val="BodyText"/>
        <w:rPr>
          <w:rFonts w:ascii="Arial" w:hAnsi="Arial"/>
          <w:b/>
          <w:sz w:val="24"/>
        </w:rPr>
        <w:sectPr w:rsidR="00D77E7B" w:rsidSect="00154716">
          <w:headerReference w:type="default" r:id="rId9"/>
          <w:pgSz w:w="12240" w:h="15840"/>
          <w:pgMar w:top="1440" w:right="1797" w:bottom="1440" w:left="1797" w:header="709" w:footer="709" w:gutter="0"/>
          <w:pgNumType w:start="2"/>
          <w:cols w:space="708"/>
          <w:titlePg/>
          <w:rtlGutter/>
          <w:docGrid w:linePitch="360"/>
        </w:sectPr>
      </w:pPr>
    </w:p>
    <w:p w:rsidR="004C4FC5" w:rsidRPr="004C4FC5" w:rsidRDefault="0013376F" w:rsidP="000474B7">
      <w:pPr>
        <w:pStyle w:val="Heading1"/>
        <w:numPr>
          <w:ilvl w:val="0"/>
          <w:numId w:val="2"/>
        </w:numPr>
        <w:tabs>
          <w:tab w:val="clear" w:pos="992"/>
          <w:tab w:val="num" w:pos="851"/>
        </w:tabs>
        <w:spacing w:before="120" w:after="120" w:line="240" w:lineRule="auto"/>
        <w:ind w:left="851" w:hanging="851"/>
        <w:rPr>
          <w:rFonts w:ascii="Arial" w:hAnsi="Arial" w:cs="Arial"/>
          <w:bCs w:val="0"/>
          <w:sz w:val="28"/>
          <w:szCs w:val="28"/>
        </w:rPr>
      </w:pPr>
      <w:bookmarkStart w:id="1" w:name="Introduction"/>
      <w:r w:rsidRPr="004C4FC5">
        <w:rPr>
          <w:rFonts w:ascii="Arial" w:hAnsi="Arial" w:cs="Arial"/>
          <w:sz w:val="28"/>
          <w:szCs w:val="28"/>
        </w:rPr>
        <w:lastRenderedPageBreak/>
        <w:t>Introduction</w:t>
      </w:r>
    </w:p>
    <w:bookmarkEnd w:id="1"/>
    <w:p w:rsidR="004C4FC5" w:rsidRPr="004C4FC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This repor</w:t>
      </w:r>
      <w:r>
        <w:rPr>
          <w:rFonts w:ascii="Arial" w:hAnsi="Arial" w:cs="Arial"/>
          <w:sz w:val="24"/>
          <w:szCs w:val="24"/>
        </w:rPr>
        <w:t xml:space="preserve">t summarises the work that the </w:t>
      </w:r>
      <w:r w:rsidRPr="004C4FC5">
        <w:rPr>
          <w:rFonts w:ascii="Arial" w:hAnsi="Arial" w:cs="Arial"/>
          <w:sz w:val="24"/>
          <w:szCs w:val="24"/>
        </w:rPr>
        <w:t>Internal Audit Service undertook during 201</w:t>
      </w:r>
      <w:r>
        <w:rPr>
          <w:rFonts w:ascii="Arial" w:hAnsi="Arial" w:cs="Arial"/>
          <w:sz w:val="24"/>
          <w:szCs w:val="24"/>
        </w:rPr>
        <w:t>5/16</w:t>
      </w:r>
      <w:r w:rsidRPr="004C4FC5">
        <w:rPr>
          <w:rFonts w:ascii="Arial" w:hAnsi="Arial" w:cs="Arial"/>
          <w:sz w:val="24"/>
          <w:szCs w:val="24"/>
        </w:rPr>
        <w:t xml:space="preserve"> and the key themes arising </w:t>
      </w:r>
      <w:r>
        <w:rPr>
          <w:rFonts w:ascii="Arial" w:hAnsi="Arial" w:cs="Arial"/>
          <w:sz w:val="24"/>
          <w:szCs w:val="24"/>
        </w:rPr>
        <w:t xml:space="preserve">from it. It provides my opinion on the overall adequacy and effectiveness of the systems of governance, </w:t>
      </w:r>
      <w:r w:rsidRPr="004C4FC5">
        <w:rPr>
          <w:rFonts w:ascii="Arial" w:hAnsi="Arial" w:cs="Arial"/>
          <w:sz w:val="24"/>
          <w:szCs w:val="24"/>
        </w:rPr>
        <w:t>risk management</w:t>
      </w:r>
      <w:r>
        <w:rPr>
          <w:rFonts w:ascii="Arial" w:hAnsi="Arial" w:cs="Arial"/>
          <w:sz w:val="24"/>
          <w:szCs w:val="24"/>
        </w:rPr>
        <w:t xml:space="preserve"> and internal control</w:t>
      </w:r>
      <w:r w:rsidRPr="004C4FC5">
        <w:rPr>
          <w:rFonts w:ascii="Arial" w:hAnsi="Arial" w:cs="Arial"/>
          <w:sz w:val="24"/>
          <w:szCs w:val="24"/>
        </w:rPr>
        <w:t>.</w:t>
      </w:r>
      <w:r>
        <w:rPr>
          <w:rFonts w:ascii="Arial" w:hAnsi="Arial" w:cs="Arial"/>
          <w:sz w:val="24"/>
          <w:szCs w:val="24"/>
        </w:rPr>
        <w:t xml:space="preserve"> It also </w:t>
      </w:r>
      <w:r>
        <w:rPr>
          <w:rFonts w:ascii="Arial" w:hAnsi="Arial" w:cs="Arial"/>
          <w:sz w:val="24"/>
          <w:szCs w:val="24"/>
        </w:rPr>
        <w:t>provides an outline of the internal audit work planned for 201</w:t>
      </w:r>
      <w:r>
        <w:rPr>
          <w:rFonts w:ascii="Arial" w:hAnsi="Arial" w:cs="Arial"/>
          <w:sz w:val="24"/>
          <w:szCs w:val="24"/>
        </w:rPr>
        <w:t>6</w:t>
      </w:r>
      <w:r>
        <w:rPr>
          <w:rFonts w:ascii="Arial" w:hAnsi="Arial" w:cs="Arial"/>
          <w:sz w:val="24"/>
          <w:szCs w:val="24"/>
        </w:rPr>
        <w:t>/1</w:t>
      </w:r>
      <w:r>
        <w:rPr>
          <w:rFonts w:ascii="Arial" w:hAnsi="Arial" w:cs="Arial"/>
          <w:sz w:val="24"/>
          <w:szCs w:val="24"/>
        </w:rPr>
        <w:t>7</w:t>
      </w:r>
      <w:r>
        <w:rPr>
          <w:rFonts w:ascii="Arial" w:hAnsi="Arial" w:cs="Arial"/>
          <w:sz w:val="24"/>
          <w:szCs w:val="24"/>
        </w:rPr>
        <w:t>.</w:t>
      </w:r>
      <w:r>
        <w:rPr>
          <w:rFonts w:ascii="Arial" w:hAnsi="Arial" w:cs="Arial"/>
          <w:sz w:val="24"/>
          <w:szCs w:val="24"/>
        </w:rPr>
        <w:t xml:space="preserve"> It is made</w:t>
      </w:r>
      <w:r>
        <w:rPr>
          <w:rFonts w:ascii="Arial" w:hAnsi="Arial" w:cs="Arial"/>
          <w:sz w:val="24"/>
          <w:szCs w:val="24"/>
        </w:rPr>
        <w:t xml:space="preserve"> under</w:t>
      </w:r>
      <w:r>
        <w:rPr>
          <w:rFonts w:ascii="Arial" w:hAnsi="Arial" w:cs="Arial"/>
          <w:sz w:val="24"/>
          <w:szCs w:val="24"/>
        </w:rPr>
        <w:t xml:space="preserve"> the </w:t>
      </w:r>
      <w:r w:rsidRPr="004C4FC5">
        <w:rPr>
          <w:rFonts w:ascii="Arial" w:hAnsi="Arial" w:cs="Arial"/>
          <w:sz w:val="24"/>
          <w:szCs w:val="24"/>
        </w:rPr>
        <w:t xml:space="preserve">Public Sector Internal Audit Standards issued by the Chartered Institute of Public Finance and Accountancy (CIPFA) and the Chartered Institute of Internal Auditors </w:t>
      </w:r>
      <w:r w:rsidRPr="004C4FC5">
        <w:rPr>
          <w:rFonts w:ascii="Arial" w:hAnsi="Arial" w:cs="Arial"/>
          <w:sz w:val="24"/>
          <w:szCs w:val="24"/>
        </w:rPr>
        <w:t>(IIA)</w:t>
      </w:r>
      <w:r>
        <w:rPr>
          <w:rFonts w:ascii="Arial" w:hAnsi="Arial" w:cs="Arial"/>
          <w:sz w:val="24"/>
          <w:szCs w:val="24"/>
        </w:rPr>
        <w:t>, with which the Internal Audit Service conforms.</w:t>
      </w:r>
    </w:p>
    <w:p w:rsidR="004C4FC5" w:rsidRPr="004E2B91"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The role of internal audit</w:t>
      </w:r>
    </w:p>
    <w:p w:rsidR="004C4FC5" w:rsidRPr="004C4FC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4C4FC5">
        <w:rPr>
          <w:rFonts w:ascii="Arial" w:hAnsi="Arial" w:cs="Arial"/>
          <w:sz w:val="24"/>
          <w:szCs w:val="24"/>
        </w:rPr>
        <w:t xml:space="preserve">The Internal Audit Service is an assurance function </w:t>
      </w:r>
      <w:r>
        <w:rPr>
          <w:rFonts w:ascii="Arial" w:hAnsi="Arial" w:cs="Arial"/>
          <w:sz w:val="24"/>
          <w:szCs w:val="24"/>
        </w:rPr>
        <w:t xml:space="preserve">designed to </w:t>
      </w:r>
      <w:r w:rsidRPr="004C4FC5">
        <w:rPr>
          <w:rFonts w:ascii="Arial" w:hAnsi="Arial" w:cs="Arial"/>
          <w:sz w:val="24"/>
          <w:szCs w:val="24"/>
        </w:rPr>
        <w:t xml:space="preserve">provide an independent and objective opinion on the adequacy and effectiveness of </w:t>
      </w:r>
      <w:r w:rsidRPr="004C4FC5">
        <w:rPr>
          <w:rFonts w:ascii="Arial" w:hAnsi="Arial" w:cs="Arial"/>
          <w:sz w:val="24"/>
          <w:szCs w:val="24"/>
        </w:rPr>
        <w:t>the</w:t>
      </w:r>
      <w:r>
        <w:rPr>
          <w:rFonts w:ascii="Arial" w:hAnsi="Arial" w:cs="Arial"/>
          <w:sz w:val="24"/>
          <w:szCs w:val="24"/>
        </w:rPr>
        <w:t xml:space="preserve"> </w:t>
      </w:r>
      <w:r w:rsidRPr="004C4FC5">
        <w:rPr>
          <w:rFonts w:ascii="Arial" w:hAnsi="Arial" w:cs="Arial"/>
          <w:sz w:val="24"/>
          <w:szCs w:val="24"/>
        </w:rPr>
        <w:t>control</w:t>
      </w:r>
      <w:r w:rsidRPr="004C4FC5">
        <w:rPr>
          <w:rFonts w:ascii="Arial" w:hAnsi="Arial" w:cs="Arial"/>
          <w:sz w:val="24"/>
          <w:szCs w:val="24"/>
        </w:rPr>
        <w:t xml:space="preserve"> environment.</w:t>
      </w:r>
      <w:r w:rsidRPr="004C4FC5">
        <w:rPr>
          <w:rFonts w:ascii="Arial" w:hAnsi="Arial" w:cs="Arial"/>
          <w:sz w:val="24"/>
          <w:szCs w:val="24"/>
        </w:rPr>
        <w:t xml:space="preserve"> The Public Sector Internal Audit Standards require the </w:t>
      </w:r>
      <w:r>
        <w:rPr>
          <w:rFonts w:ascii="Arial" w:hAnsi="Arial" w:cs="Arial"/>
          <w:sz w:val="24"/>
          <w:szCs w:val="24"/>
        </w:rPr>
        <w:t xml:space="preserve">head of internal audit </w:t>
      </w:r>
      <w:r w:rsidRPr="004C4FC5">
        <w:rPr>
          <w:rFonts w:ascii="Arial" w:hAnsi="Arial" w:cs="Arial"/>
          <w:sz w:val="24"/>
          <w:szCs w:val="24"/>
        </w:rPr>
        <w:t xml:space="preserve">to provide an opinion on the control environment and a written report to those charged with governance, timed to support the annual governance statement. This report </w:t>
      </w:r>
      <w:r>
        <w:rPr>
          <w:rFonts w:ascii="Arial" w:hAnsi="Arial" w:cs="Arial"/>
          <w:sz w:val="24"/>
          <w:szCs w:val="24"/>
        </w:rPr>
        <w:t>is</w:t>
      </w:r>
      <w:r w:rsidRPr="004C4FC5">
        <w:rPr>
          <w:rFonts w:ascii="Arial" w:hAnsi="Arial" w:cs="Arial"/>
          <w:sz w:val="24"/>
          <w:szCs w:val="24"/>
        </w:rPr>
        <w:t xml:space="preserve"> based up</w:t>
      </w:r>
      <w:r w:rsidRPr="004C4FC5">
        <w:rPr>
          <w:rFonts w:ascii="Arial" w:hAnsi="Arial" w:cs="Arial"/>
          <w:sz w:val="24"/>
          <w:szCs w:val="24"/>
        </w:rPr>
        <w:t>on the work the Internal Audit Service performed during 201</w:t>
      </w:r>
      <w:r>
        <w:rPr>
          <w:rFonts w:ascii="Arial" w:hAnsi="Arial" w:cs="Arial"/>
          <w:sz w:val="24"/>
          <w:szCs w:val="24"/>
        </w:rPr>
        <w:t>5</w:t>
      </w:r>
      <w:r w:rsidRPr="004C4FC5">
        <w:rPr>
          <w:rFonts w:ascii="Arial" w:hAnsi="Arial" w:cs="Arial"/>
          <w:sz w:val="24"/>
          <w:szCs w:val="24"/>
        </w:rPr>
        <w:t>/1</w:t>
      </w:r>
      <w:r>
        <w:rPr>
          <w:rFonts w:ascii="Arial" w:hAnsi="Arial" w:cs="Arial"/>
          <w:sz w:val="24"/>
          <w:szCs w:val="24"/>
        </w:rPr>
        <w:t>6</w:t>
      </w:r>
      <w:r w:rsidRPr="004C4FC5">
        <w:rPr>
          <w:rFonts w:ascii="Arial" w:hAnsi="Arial" w:cs="Arial"/>
          <w:sz w:val="24"/>
          <w:szCs w:val="24"/>
        </w:rPr>
        <w:t>.</w:t>
      </w:r>
    </w:p>
    <w:p w:rsidR="004C4FC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The scope of </w:t>
      </w:r>
      <w:r w:rsidRPr="00D56808">
        <w:rPr>
          <w:rFonts w:ascii="Arial" w:hAnsi="Arial" w:cs="Arial"/>
          <w:sz w:val="24"/>
          <w:szCs w:val="24"/>
        </w:rPr>
        <w:t>our work</w:t>
      </w:r>
      <w:r>
        <w:rPr>
          <w:rFonts w:ascii="Arial" w:hAnsi="Arial" w:cs="Arial"/>
          <w:sz w:val="24"/>
          <w:szCs w:val="24"/>
        </w:rPr>
        <w:t>,</w:t>
      </w:r>
      <w:r w:rsidRPr="00D56808">
        <w:rPr>
          <w:rFonts w:ascii="Arial" w:hAnsi="Arial" w:cs="Arial"/>
          <w:sz w:val="24"/>
          <w:szCs w:val="24"/>
        </w:rPr>
        <w:t xml:space="preserve"> </w:t>
      </w:r>
      <w:r w:rsidRPr="004C4FC5">
        <w:rPr>
          <w:rFonts w:ascii="Arial" w:hAnsi="Arial" w:cs="Arial"/>
          <w:sz w:val="24"/>
          <w:szCs w:val="24"/>
        </w:rPr>
        <w:t xml:space="preserve">management and audit’s </w:t>
      </w:r>
      <w:r w:rsidRPr="00D27427">
        <w:rPr>
          <w:rFonts w:ascii="Arial" w:hAnsi="Arial" w:cs="Arial"/>
          <w:sz w:val="24"/>
          <w:szCs w:val="24"/>
        </w:rPr>
        <w:t xml:space="preserve">responsibilities, the basis of </w:t>
      </w:r>
      <w:r>
        <w:rPr>
          <w:rFonts w:ascii="Arial" w:hAnsi="Arial" w:cs="Arial"/>
          <w:sz w:val="24"/>
          <w:szCs w:val="24"/>
        </w:rPr>
        <w:t>my</w:t>
      </w:r>
      <w:r w:rsidRPr="00D27427">
        <w:rPr>
          <w:rFonts w:ascii="Arial" w:hAnsi="Arial" w:cs="Arial"/>
          <w:sz w:val="24"/>
          <w:szCs w:val="24"/>
        </w:rPr>
        <w:t xml:space="preserve"> assessment, and access to this report is set out in Annex A</w:t>
      </w:r>
      <w:r>
        <w:rPr>
          <w:rFonts w:ascii="Arial" w:hAnsi="Arial" w:cs="Arial"/>
          <w:sz w:val="24"/>
          <w:szCs w:val="24"/>
        </w:rPr>
        <w:t xml:space="preserve"> to this report</w:t>
      </w:r>
      <w:r>
        <w:rPr>
          <w:rFonts w:ascii="Arial" w:hAnsi="Arial" w:cs="Arial"/>
          <w:sz w:val="24"/>
          <w:szCs w:val="24"/>
        </w:rPr>
        <w:t>. T</w:t>
      </w:r>
      <w:r w:rsidRPr="00D27427">
        <w:rPr>
          <w:rFonts w:ascii="Arial" w:hAnsi="Arial" w:cs="Arial"/>
          <w:sz w:val="24"/>
          <w:szCs w:val="24"/>
        </w:rPr>
        <w:t xml:space="preserve">he levels of assurance the </w:t>
      </w:r>
      <w:r w:rsidRPr="00D27427">
        <w:rPr>
          <w:rFonts w:ascii="Arial" w:hAnsi="Arial" w:cs="Arial"/>
          <w:sz w:val="24"/>
          <w:szCs w:val="24"/>
        </w:rPr>
        <w:t>Internal Audit Service provides are set out in Annex B.</w:t>
      </w:r>
    </w:p>
    <w:p w:rsidR="000F5C7C" w:rsidRPr="000F5C7C" w:rsidRDefault="0013376F" w:rsidP="000474B7">
      <w:pPr>
        <w:spacing w:before="120" w:after="120" w:line="240" w:lineRule="auto"/>
        <w:ind w:firstLine="720"/>
        <w:rPr>
          <w:rFonts w:ascii="Arial" w:hAnsi="Arial" w:cs="Arial"/>
          <w:b/>
          <w:sz w:val="24"/>
          <w:szCs w:val="24"/>
        </w:rPr>
      </w:pPr>
      <w:r>
        <w:rPr>
          <w:rFonts w:ascii="Arial" w:hAnsi="Arial" w:cs="Arial"/>
          <w:b/>
          <w:sz w:val="24"/>
          <w:szCs w:val="24"/>
        </w:rPr>
        <w:t xml:space="preserve">  </w:t>
      </w:r>
      <w:r w:rsidRPr="000F5C7C">
        <w:rPr>
          <w:rFonts w:ascii="Arial" w:hAnsi="Arial" w:cs="Arial"/>
          <w:b/>
          <w:sz w:val="24"/>
          <w:szCs w:val="24"/>
        </w:rPr>
        <w:t>Acknowledgements</w:t>
      </w:r>
    </w:p>
    <w:p w:rsidR="000F5C7C" w:rsidRDefault="0013376F" w:rsidP="000474B7">
      <w:pPr>
        <w:numPr>
          <w:ilvl w:val="1"/>
          <w:numId w:val="2"/>
        </w:numPr>
        <w:spacing w:before="120" w:after="120" w:line="240" w:lineRule="auto"/>
        <w:ind w:left="851" w:hanging="851"/>
        <w:rPr>
          <w:rFonts w:ascii="Arial" w:hAnsi="Arial" w:cs="Arial"/>
          <w:sz w:val="24"/>
          <w:szCs w:val="24"/>
        </w:rPr>
      </w:pPr>
      <w:r w:rsidRPr="000F5C7C">
        <w:rPr>
          <w:rFonts w:ascii="Arial" w:hAnsi="Arial" w:cs="Arial"/>
          <w:sz w:val="24"/>
          <w:szCs w:val="24"/>
        </w:rPr>
        <w:t>I am grateful for the assistance that has been provided to the Internal Audit Service in the course of our work during the year.</w:t>
      </w:r>
    </w:p>
    <w:p w:rsidR="000F5C7C" w:rsidRDefault="0013376F" w:rsidP="000474B7">
      <w:pPr>
        <w:spacing w:before="120" w:after="120" w:line="240" w:lineRule="auto"/>
        <w:rPr>
          <w:rFonts w:ascii="Arial" w:hAnsi="Arial" w:cs="Arial"/>
          <w:sz w:val="24"/>
          <w:szCs w:val="24"/>
        </w:rPr>
      </w:pPr>
    </w:p>
    <w:p w:rsidR="00154716" w:rsidRDefault="0013376F" w:rsidP="000474B7">
      <w:pPr>
        <w:spacing w:before="120" w:after="120" w:line="240" w:lineRule="auto"/>
        <w:rPr>
          <w:rFonts w:ascii="Arial" w:hAnsi="Arial" w:cs="Arial"/>
          <w:sz w:val="24"/>
          <w:szCs w:val="24"/>
        </w:rPr>
      </w:pPr>
    </w:p>
    <w:p w:rsidR="000F5C7C" w:rsidRPr="004A3460" w:rsidRDefault="0013376F" w:rsidP="000474B7">
      <w:pPr>
        <w:tabs>
          <w:tab w:val="left" w:pos="284"/>
        </w:tabs>
        <w:spacing w:before="120" w:after="120" w:line="240" w:lineRule="auto"/>
        <w:rPr>
          <w:rFonts w:ascii="Arial" w:hAnsi="Arial"/>
          <w:sz w:val="24"/>
          <w:szCs w:val="24"/>
          <w:lang w:eastAsia="en-GB"/>
        </w:rPr>
      </w:pPr>
      <w:r w:rsidRPr="004A3460">
        <w:rPr>
          <w:rFonts w:ascii="Arial" w:hAnsi="Arial"/>
          <w:sz w:val="24"/>
          <w:szCs w:val="24"/>
          <w:lang w:eastAsia="en-GB"/>
        </w:rPr>
        <w:t>Ruth Lowry</w:t>
      </w:r>
    </w:p>
    <w:p w:rsidR="000F5C7C" w:rsidRPr="004A3460" w:rsidRDefault="0013376F" w:rsidP="000474B7">
      <w:pPr>
        <w:tabs>
          <w:tab w:val="left" w:pos="284"/>
        </w:tabs>
        <w:spacing w:before="120" w:after="120" w:line="240" w:lineRule="auto"/>
        <w:rPr>
          <w:rFonts w:ascii="Arial" w:hAnsi="Arial"/>
          <w:sz w:val="24"/>
          <w:szCs w:val="24"/>
          <w:lang w:eastAsia="en-GB"/>
        </w:rPr>
      </w:pPr>
      <w:r>
        <w:rPr>
          <w:rFonts w:ascii="Arial" w:hAnsi="Arial"/>
          <w:sz w:val="24"/>
          <w:szCs w:val="24"/>
          <w:lang w:eastAsia="en-GB"/>
        </w:rPr>
        <w:t>Head of Internal Audit</w:t>
      </w:r>
    </w:p>
    <w:p w:rsidR="000F5C7C" w:rsidRPr="004A3460" w:rsidRDefault="0013376F" w:rsidP="000474B7">
      <w:pPr>
        <w:tabs>
          <w:tab w:val="left" w:pos="284"/>
        </w:tabs>
        <w:spacing w:before="120" w:after="120" w:line="240" w:lineRule="auto"/>
        <w:rPr>
          <w:rFonts w:ascii="Arial" w:hAnsi="Arial"/>
          <w:sz w:val="24"/>
          <w:szCs w:val="24"/>
          <w:lang w:eastAsia="en-GB"/>
        </w:rPr>
      </w:pPr>
      <w:r w:rsidRPr="004A3460">
        <w:rPr>
          <w:rFonts w:ascii="Arial" w:hAnsi="Arial"/>
          <w:sz w:val="24"/>
          <w:szCs w:val="24"/>
          <w:lang w:eastAsia="en-GB"/>
        </w:rPr>
        <w:t xml:space="preserve">Lancashire </w:t>
      </w:r>
      <w:r w:rsidRPr="004A3460">
        <w:rPr>
          <w:rFonts w:ascii="Arial" w:hAnsi="Arial"/>
          <w:sz w:val="24"/>
          <w:szCs w:val="24"/>
          <w:lang w:eastAsia="en-GB"/>
        </w:rPr>
        <w:t>County Council</w:t>
      </w:r>
    </w:p>
    <w:p w:rsidR="000F5C7C" w:rsidRDefault="0013376F" w:rsidP="000474B7">
      <w:pPr>
        <w:spacing w:before="120" w:after="120" w:line="240" w:lineRule="auto"/>
        <w:rPr>
          <w:rFonts w:ascii="Arial" w:hAnsi="Arial" w:cs="Arial"/>
          <w:sz w:val="24"/>
          <w:szCs w:val="24"/>
        </w:rPr>
        <w:sectPr w:rsidR="000F5C7C" w:rsidSect="00D27427">
          <w:headerReference w:type="default" r:id="rId10"/>
          <w:footerReference w:type="default" r:id="rId11"/>
          <w:headerReference w:type="first" r:id="rId12"/>
          <w:footerReference w:type="first" r:id="rId13"/>
          <w:pgSz w:w="12240" w:h="15840"/>
          <w:pgMar w:top="1560" w:right="1608" w:bottom="1135" w:left="1560" w:header="709" w:footer="536" w:gutter="0"/>
          <w:pgNumType w:start="1"/>
          <w:cols w:space="708"/>
          <w:docGrid w:linePitch="360"/>
        </w:sectPr>
      </w:pPr>
    </w:p>
    <w:p w:rsidR="007F6E34" w:rsidRDefault="0013376F"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Pr>
          <w:rFonts w:ascii="Arial" w:hAnsi="Arial" w:cs="Arial"/>
          <w:sz w:val="28"/>
          <w:szCs w:val="28"/>
        </w:rPr>
        <w:t>Overall</w:t>
      </w:r>
      <w:r>
        <w:rPr>
          <w:rFonts w:ascii="Arial" w:hAnsi="Arial" w:cs="Arial"/>
          <w:sz w:val="28"/>
          <w:szCs w:val="28"/>
        </w:rPr>
        <w:t xml:space="preserve"> opinion on governance, risk management and internal control</w:t>
      </w:r>
    </w:p>
    <w:p w:rsidR="000F5C7C" w:rsidRPr="000F5C7C" w:rsidRDefault="0013376F" w:rsidP="000474B7">
      <w:pPr>
        <w:spacing w:before="120" w:after="120" w:line="240" w:lineRule="auto"/>
        <w:ind w:firstLine="720"/>
        <w:rPr>
          <w:rFonts w:ascii="Arial" w:hAnsi="Arial" w:cs="Arial"/>
          <w:b/>
          <w:sz w:val="24"/>
          <w:szCs w:val="24"/>
        </w:rPr>
      </w:pPr>
      <w:r>
        <w:rPr>
          <w:rFonts w:ascii="Arial" w:hAnsi="Arial" w:cs="Arial"/>
          <w:b/>
          <w:sz w:val="24"/>
          <w:szCs w:val="24"/>
        </w:rPr>
        <w:t xml:space="preserve">  </w:t>
      </w:r>
      <w:r w:rsidRPr="000F5C7C">
        <w:rPr>
          <w:rFonts w:ascii="Arial" w:hAnsi="Arial" w:cs="Arial"/>
          <w:b/>
          <w:sz w:val="24"/>
          <w:szCs w:val="24"/>
        </w:rPr>
        <w:t>Overall opinion</w:t>
      </w:r>
    </w:p>
    <w:p w:rsidR="004C4FC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On the basis of our programme of work for </w:t>
      </w:r>
      <w:r>
        <w:rPr>
          <w:rFonts w:ascii="Arial" w:hAnsi="Arial" w:cs="Arial"/>
          <w:sz w:val="24"/>
          <w:szCs w:val="24"/>
        </w:rPr>
        <w:t xml:space="preserve">the year, I can provide </w:t>
      </w:r>
      <w:r>
        <w:rPr>
          <w:rFonts w:ascii="Arial" w:hAnsi="Arial" w:cs="Arial"/>
          <w:sz w:val="24"/>
          <w:szCs w:val="24"/>
        </w:rPr>
        <w:t xml:space="preserve">substantial assurance </w:t>
      </w:r>
      <w:r>
        <w:rPr>
          <w:rFonts w:ascii="Arial" w:hAnsi="Arial" w:cs="Arial"/>
          <w:sz w:val="24"/>
          <w:szCs w:val="24"/>
        </w:rPr>
        <w:t xml:space="preserve">over the internal control environment, governance and risk management arrangements </w:t>
      </w:r>
      <w:r>
        <w:rPr>
          <w:rFonts w:ascii="Arial" w:hAnsi="Arial" w:cs="Arial"/>
          <w:sz w:val="24"/>
          <w:szCs w:val="24"/>
        </w:rPr>
        <w:t xml:space="preserve">of the Lancashire Pension Fund </w:t>
      </w:r>
      <w:r>
        <w:rPr>
          <w:rFonts w:ascii="Arial" w:hAnsi="Arial" w:cs="Arial"/>
          <w:sz w:val="24"/>
          <w:szCs w:val="24"/>
        </w:rPr>
        <w:t>for 2015/16. I</w:t>
      </w:r>
      <w:r>
        <w:rPr>
          <w:rFonts w:ascii="Arial" w:hAnsi="Arial" w:cs="Arial"/>
          <w:sz w:val="24"/>
          <w:szCs w:val="24"/>
        </w:rPr>
        <w:t>n</w:t>
      </w:r>
      <w:r>
        <w:rPr>
          <w:rFonts w:ascii="Arial" w:hAnsi="Arial" w:cs="Arial"/>
          <w:sz w:val="24"/>
          <w:szCs w:val="24"/>
        </w:rPr>
        <w:t xml:space="preserve"> my opinion that there is </w:t>
      </w:r>
      <w:r w:rsidRPr="007F6E34">
        <w:rPr>
          <w:rFonts w:ascii="Arial" w:hAnsi="Arial" w:cs="Arial"/>
          <w:sz w:val="24"/>
          <w:szCs w:val="24"/>
        </w:rPr>
        <w:t xml:space="preserve">a generally sound system of internal control, </w:t>
      </w:r>
      <w:r>
        <w:rPr>
          <w:rFonts w:ascii="Arial" w:hAnsi="Arial" w:cs="Arial"/>
          <w:sz w:val="24"/>
          <w:szCs w:val="24"/>
        </w:rPr>
        <w:t xml:space="preserve">adequately designed to meet the objectives of </w:t>
      </w:r>
      <w:r>
        <w:rPr>
          <w:rFonts w:ascii="Arial" w:hAnsi="Arial" w:cs="Arial"/>
          <w:sz w:val="24"/>
          <w:szCs w:val="24"/>
        </w:rPr>
        <w:t>the</w:t>
      </w:r>
      <w:r>
        <w:rPr>
          <w:rFonts w:ascii="Arial" w:hAnsi="Arial" w:cs="Arial"/>
          <w:sz w:val="24"/>
          <w:szCs w:val="24"/>
        </w:rPr>
        <w:t xml:space="preserve"> Pensi</w:t>
      </w:r>
      <w:r>
        <w:rPr>
          <w:rFonts w:ascii="Arial" w:hAnsi="Arial" w:cs="Arial"/>
          <w:sz w:val="24"/>
          <w:szCs w:val="24"/>
        </w:rPr>
        <w:t xml:space="preserve">on Fund </w:t>
      </w:r>
      <w:r w:rsidRPr="007F6E34">
        <w:rPr>
          <w:rFonts w:ascii="Arial" w:hAnsi="Arial" w:cs="Arial"/>
          <w:sz w:val="24"/>
          <w:szCs w:val="24"/>
        </w:rPr>
        <w:t xml:space="preserve">and controls </w:t>
      </w:r>
      <w:r>
        <w:rPr>
          <w:rFonts w:ascii="Arial" w:hAnsi="Arial" w:cs="Arial"/>
          <w:sz w:val="24"/>
          <w:szCs w:val="24"/>
        </w:rPr>
        <w:t>were</w:t>
      </w:r>
      <w:r w:rsidRPr="007F6E34">
        <w:rPr>
          <w:rFonts w:ascii="Arial" w:hAnsi="Arial" w:cs="Arial"/>
          <w:sz w:val="24"/>
          <w:szCs w:val="24"/>
        </w:rPr>
        <w:t xml:space="preserve"> generally applied consistently</w:t>
      </w:r>
      <w:r>
        <w:rPr>
          <w:rFonts w:ascii="Arial" w:hAnsi="Arial" w:cs="Arial"/>
          <w:sz w:val="24"/>
          <w:szCs w:val="24"/>
        </w:rPr>
        <w:t>.</w:t>
      </w:r>
    </w:p>
    <w:p w:rsidR="00BF79C8" w:rsidRPr="004E2B91"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Summary of assurance provided by the Internal Audit Service</w:t>
      </w:r>
    </w:p>
    <w:p w:rsidR="003163E2"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We have fulfilled the work plan outlined in the report to the Pension Fund Committee in June 201</w:t>
      </w:r>
      <w:r>
        <w:rPr>
          <w:rFonts w:ascii="Arial" w:hAnsi="Arial" w:cs="Arial"/>
          <w:sz w:val="24"/>
          <w:szCs w:val="24"/>
        </w:rPr>
        <w:t>5</w:t>
      </w:r>
      <w:r>
        <w:rPr>
          <w:rFonts w:ascii="Arial" w:hAnsi="Arial" w:cs="Arial"/>
          <w:sz w:val="24"/>
          <w:szCs w:val="24"/>
        </w:rPr>
        <w:t xml:space="preserve">, which addressed </w:t>
      </w:r>
      <w:r>
        <w:rPr>
          <w:rFonts w:ascii="Arial" w:hAnsi="Arial" w:cs="Arial"/>
          <w:sz w:val="24"/>
          <w:szCs w:val="24"/>
        </w:rPr>
        <w:t xml:space="preserve">the </w:t>
      </w:r>
      <w:r>
        <w:rPr>
          <w:rFonts w:ascii="Arial" w:hAnsi="Arial" w:cs="Arial"/>
          <w:sz w:val="24"/>
          <w:szCs w:val="24"/>
        </w:rPr>
        <w:t xml:space="preserve">administration </w:t>
      </w:r>
      <w:r>
        <w:rPr>
          <w:rFonts w:ascii="Arial" w:hAnsi="Arial" w:cs="Arial"/>
          <w:sz w:val="24"/>
          <w:szCs w:val="24"/>
        </w:rPr>
        <w:t xml:space="preserve">of the Fund for its members, </w:t>
      </w:r>
      <w:r>
        <w:rPr>
          <w:rFonts w:ascii="Arial" w:hAnsi="Arial" w:cs="Arial"/>
          <w:sz w:val="24"/>
          <w:szCs w:val="24"/>
        </w:rPr>
        <w:t xml:space="preserve">the Fund's </w:t>
      </w:r>
      <w:r>
        <w:rPr>
          <w:rFonts w:ascii="Arial" w:hAnsi="Arial" w:cs="Arial"/>
          <w:sz w:val="24"/>
          <w:szCs w:val="24"/>
        </w:rPr>
        <w:t xml:space="preserve">general ledger </w:t>
      </w:r>
      <w:r>
        <w:rPr>
          <w:rFonts w:ascii="Arial" w:hAnsi="Arial" w:cs="Arial"/>
          <w:sz w:val="24"/>
          <w:szCs w:val="24"/>
        </w:rPr>
        <w:t xml:space="preserve">accounting arrangements, </w:t>
      </w:r>
      <w:r>
        <w:rPr>
          <w:rFonts w:ascii="Arial" w:hAnsi="Arial" w:cs="Arial"/>
          <w:sz w:val="24"/>
          <w:szCs w:val="24"/>
        </w:rPr>
        <w:t xml:space="preserve">controls monitoring the Fund's </w:t>
      </w:r>
      <w:r>
        <w:rPr>
          <w:rFonts w:ascii="Arial" w:hAnsi="Arial" w:cs="Arial"/>
          <w:sz w:val="24"/>
          <w:szCs w:val="24"/>
        </w:rPr>
        <w:t>listed equities</w:t>
      </w:r>
      <w:r>
        <w:rPr>
          <w:rFonts w:ascii="Arial" w:hAnsi="Arial" w:cs="Arial"/>
          <w:sz w:val="24"/>
          <w:szCs w:val="24"/>
        </w:rPr>
        <w:t xml:space="preserve"> and performance monitoring.</w:t>
      </w:r>
      <w:r>
        <w:rPr>
          <w:rFonts w:ascii="Arial" w:hAnsi="Arial" w:cs="Arial"/>
          <w:sz w:val="24"/>
          <w:szCs w:val="24"/>
        </w:rPr>
        <w:t xml:space="preserve"> </w:t>
      </w:r>
      <w:r>
        <w:rPr>
          <w:rFonts w:ascii="Arial" w:hAnsi="Arial" w:cs="Arial"/>
          <w:sz w:val="24"/>
          <w:szCs w:val="24"/>
        </w:rPr>
        <w:t xml:space="preserve">We have provided </w:t>
      </w:r>
      <w:r>
        <w:rPr>
          <w:rFonts w:ascii="Arial" w:hAnsi="Arial" w:cs="Arial"/>
          <w:sz w:val="24"/>
          <w:szCs w:val="24"/>
        </w:rPr>
        <w:t xml:space="preserve">full or </w:t>
      </w:r>
      <w:r>
        <w:rPr>
          <w:rFonts w:ascii="Arial" w:hAnsi="Arial" w:cs="Arial"/>
          <w:sz w:val="24"/>
          <w:szCs w:val="24"/>
        </w:rPr>
        <w:t>substantial assurance over each of these areas.</w:t>
      </w:r>
    </w:p>
    <w:p w:rsidR="002E00E2" w:rsidRPr="002E00E2" w:rsidRDefault="0013376F" w:rsidP="000474B7">
      <w:pPr>
        <w:pStyle w:val="ListParagraph"/>
        <w:numPr>
          <w:ilvl w:val="1"/>
          <w:numId w:val="2"/>
        </w:numPr>
        <w:tabs>
          <w:tab w:val="clear" w:pos="992"/>
          <w:tab w:val="num" w:pos="851"/>
        </w:tabs>
        <w:spacing w:before="120" w:after="120"/>
        <w:contextualSpacing w:val="0"/>
        <w:rPr>
          <w:rFonts w:cs="Arial"/>
          <w:lang w:eastAsia="en-US"/>
        </w:rPr>
      </w:pPr>
      <w:r w:rsidRPr="002E00E2">
        <w:rPr>
          <w:rFonts w:cs="Arial"/>
          <w:lang w:eastAsia="en-US"/>
        </w:rPr>
        <w:t>Definitions of the assurance</w:t>
      </w:r>
      <w:r w:rsidRPr="002E00E2">
        <w:rPr>
          <w:rFonts w:cs="Arial"/>
          <w:lang w:eastAsia="en-US"/>
        </w:rPr>
        <w:t xml:space="preserve"> levels used are included in Annex 2.</w:t>
      </w:r>
    </w:p>
    <w:p w:rsidR="007F6E34" w:rsidRPr="004E2B91"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sidRPr="004E2B91">
        <w:rPr>
          <w:sz w:val="24"/>
          <w:szCs w:val="24"/>
        </w:rPr>
        <w:t xml:space="preserve">Wider sources of assurance available to the </w:t>
      </w:r>
      <w:r w:rsidRPr="004E2B91">
        <w:rPr>
          <w:sz w:val="24"/>
          <w:szCs w:val="24"/>
        </w:rPr>
        <w:t>Pension Fund</w:t>
      </w:r>
    </w:p>
    <w:p w:rsidR="003E5FDF" w:rsidRPr="003E5FDF"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BF79C8">
        <w:rPr>
          <w:rFonts w:ascii="Arial" w:hAnsi="Arial" w:cs="Arial"/>
          <w:sz w:val="24"/>
          <w:szCs w:val="24"/>
        </w:rPr>
        <w:t xml:space="preserve">Assurance has </w:t>
      </w:r>
      <w:r>
        <w:rPr>
          <w:rFonts w:ascii="Arial" w:hAnsi="Arial" w:cs="Arial"/>
          <w:sz w:val="24"/>
          <w:szCs w:val="24"/>
        </w:rPr>
        <w:t xml:space="preserve">also </w:t>
      </w:r>
      <w:r w:rsidRPr="00BF79C8">
        <w:rPr>
          <w:rFonts w:ascii="Arial" w:hAnsi="Arial" w:cs="Arial"/>
          <w:sz w:val="24"/>
          <w:szCs w:val="24"/>
        </w:rPr>
        <w:t xml:space="preserve">been provided to the </w:t>
      </w:r>
      <w:r>
        <w:rPr>
          <w:rFonts w:ascii="Arial" w:hAnsi="Arial" w:cs="Arial"/>
          <w:sz w:val="24"/>
          <w:szCs w:val="24"/>
        </w:rPr>
        <w:t>Pension Fund</w:t>
      </w:r>
      <w:r w:rsidRPr="00BF79C8">
        <w:rPr>
          <w:rFonts w:ascii="Arial" w:hAnsi="Arial" w:cs="Arial"/>
          <w:sz w:val="24"/>
          <w:szCs w:val="24"/>
        </w:rPr>
        <w:t xml:space="preserve"> by Grant Thornton as the </w:t>
      </w:r>
      <w:r>
        <w:rPr>
          <w:rFonts w:ascii="Arial" w:hAnsi="Arial" w:cs="Arial"/>
          <w:sz w:val="24"/>
          <w:szCs w:val="24"/>
        </w:rPr>
        <w:t>Fund's</w:t>
      </w:r>
      <w:r w:rsidRPr="00BF79C8">
        <w:rPr>
          <w:rFonts w:ascii="Arial" w:hAnsi="Arial" w:cs="Arial"/>
          <w:sz w:val="24"/>
          <w:szCs w:val="24"/>
        </w:rPr>
        <w:t xml:space="preserve"> external auditor. Grant Thornton issued its annual audit letter </w:t>
      </w:r>
      <w:r w:rsidRPr="003E5FDF">
        <w:rPr>
          <w:rFonts w:ascii="Arial" w:hAnsi="Arial" w:cs="Arial"/>
          <w:sz w:val="24"/>
          <w:szCs w:val="24"/>
        </w:rPr>
        <w:t>relating</w:t>
      </w:r>
      <w:r w:rsidRPr="003E5FDF">
        <w:rPr>
          <w:rFonts w:ascii="Arial" w:hAnsi="Arial" w:cs="Arial"/>
          <w:sz w:val="24"/>
          <w:szCs w:val="24"/>
        </w:rPr>
        <w:t xml:space="preserve"> to 201</w:t>
      </w:r>
      <w:r>
        <w:rPr>
          <w:rFonts w:ascii="Arial" w:hAnsi="Arial" w:cs="Arial"/>
          <w:sz w:val="24"/>
          <w:szCs w:val="24"/>
        </w:rPr>
        <w:t>4</w:t>
      </w:r>
      <w:r w:rsidRPr="003E5FDF">
        <w:rPr>
          <w:rFonts w:ascii="Arial" w:hAnsi="Arial" w:cs="Arial"/>
          <w:sz w:val="24"/>
          <w:szCs w:val="24"/>
        </w:rPr>
        <w:t>/1</w:t>
      </w:r>
      <w:r>
        <w:rPr>
          <w:rFonts w:ascii="Arial" w:hAnsi="Arial" w:cs="Arial"/>
          <w:sz w:val="24"/>
          <w:szCs w:val="24"/>
        </w:rPr>
        <w:t>5</w:t>
      </w:r>
      <w:r w:rsidRPr="003E5FDF">
        <w:rPr>
          <w:rFonts w:ascii="Arial" w:hAnsi="Arial" w:cs="Arial"/>
          <w:sz w:val="24"/>
          <w:szCs w:val="24"/>
        </w:rPr>
        <w:t xml:space="preserve"> in September</w:t>
      </w:r>
      <w:r w:rsidRPr="003E5FDF">
        <w:rPr>
          <w:rFonts w:ascii="Arial" w:hAnsi="Arial" w:cs="Arial"/>
          <w:sz w:val="24"/>
          <w:szCs w:val="24"/>
        </w:rPr>
        <w:t xml:space="preserve"> 201</w:t>
      </w:r>
      <w:r>
        <w:rPr>
          <w:rFonts w:ascii="Arial" w:hAnsi="Arial" w:cs="Arial"/>
          <w:sz w:val="24"/>
          <w:szCs w:val="24"/>
        </w:rPr>
        <w:t>5</w:t>
      </w:r>
      <w:r w:rsidRPr="00BF79C8">
        <w:rPr>
          <w:rFonts w:ascii="Arial" w:hAnsi="Arial" w:cs="Arial"/>
          <w:sz w:val="24"/>
          <w:szCs w:val="24"/>
        </w:rPr>
        <w:t xml:space="preserve">, and gave </w:t>
      </w:r>
      <w:r>
        <w:rPr>
          <w:rFonts w:ascii="Arial" w:hAnsi="Arial" w:cs="Arial"/>
          <w:sz w:val="24"/>
          <w:szCs w:val="24"/>
        </w:rPr>
        <w:t xml:space="preserve">an </w:t>
      </w:r>
      <w:r>
        <w:rPr>
          <w:rFonts w:ascii="Arial" w:hAnsi="Arial" w:cs="Arial"/>
          <w:sz w:val="24"/>
          <w:szCs w:val="24"/>
        </w:rPr>
        <w:t>unqualified</w:t>
      </w:r>
      <w:r>
        <w:rPr>
          <w:rFonts w:ascii="Arial" w:hAnsi="Arial" w:cs="Arial"/>
          <w:sz w:val="24"/>
          <w:szCs w:val="24"/>
        </w:rPr>
        <w:t xml:space="preserve"> opinion</w:t>
      </w:r>
      <w:r w:rsidRPr="00BF79C8">
        <w:rPr>
          <w:rFonts w:ascii="Arial" w:hAnsi="Arial" w:cs="Arial"/>
          <w:sz w:val="24"/>
          <w:szCs w:val="24"/>
        </w:rPr>
        <w:t xml:space="preserve"> on the </w:t>
      </w:r>
      <w:r>
        <w:rPr>
          <w:rFonts w:ascii="Arial" w:hAnsi="Arial" w:cs="Arial"/>
          <w:sz w:val="24"/>
          <w:szCs w:val="24"/>
        </w:rPr>
        <w:t xml:space="preserve">Fund's </w:t>
      </w:r>
      <w:r w:rsidRPr="00BF79C8">
        <w:rPr>
          <w:rFonts w:ascii="Arial" w:hAnsi="Arial" w:cs="Arial"/>
          <w:sz w:val="24"/>
          <w:szCs w:val="24"/>
        </w:rPr>
        <w:t>annual financial statements</w:t>
      </w:r>
      <w:r>
        <w:rPr>
          <w:rFonts w:ascii="Arial" w:hAnsi="Arial" w:cs="Arial"/>
          <w:sz w:val="24"/>
          <w:szCs w:val="24"/>
        </w:rPr>
        <w:t xml:space="preserve">. </w:t>
      </w:r>
    </w:p>
    <w:p w:rsidR="001E129A" w:rsidRPr="001E129A"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sidRPr="001E129A">
        <w:rPr>
          <w:sz w:val="24"/>
          <w:szCs w:val="24"/>
        </w:rPr>
        <w:t>Implications for the Annual Governance Statement</w:t>
      </w:r>
    </w:p>
    <w:p w:rsidR="001E129A"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On the basis of our work during 201</w:t>
      </w:r>
      <w:r>
        <w:rPr>
          <w:rFonts w:ascii="Arial" w:hAnsi="Arial" w:cs="Arial"/>
          <w:sz w:val="24"/>
          <w:szCs w:val="24"/>
        </w:rPr>
        <w:t>5</w:t>
      </w:r>
      <w:r>
        <w:rPr>
          <w:rFonts w:ascii="Arial" w:hAnsi="Arial" w:cs="Arial"/>
          <w:sz w:val="24"/>
          <w:szCs w:val="24"/>
        </w:rPr>
        <w:t>/1</w:t>
      </w:r>
      <w:r>
        <w:rPr>
          <w:rFonts w:ascii="Arial" w:hAnsi="Arial" w:cs="Arial"/>
          <w:sz w:val="24"/>
          <w:szCs w:val="24"/>
        </w:rPr>
        <w:t>6</w:t>
      </w:r>
      <w:r>
        <w:rPr>
          <w:rFonts w:ascii="Arial" w:hAnsi="Arial" w:cs="Arial"/>
          <w:sz w:val="24"/>
          <w:szCs w:val="24"/>
        </w:rPr>
        <w:t xml:space="preserve">, we are aware of no issues that should be disclosed in </w:t>
      </w:r>
      <w:r>
        <w:rPr>
          <w:rFonts w:ascii="Arial" w:hAnsi="Arial" w:cs="Arial"/>
          <w:sz w:val="24"/>
          <w:szCs w:val="24"/>
        </w:rPr>
        <w:t>the Fund's Annual Governance Statement.</w:t>
      </w:r>
    </w:p>
    <w:p w:rsidR="001E129A" w:rsidRPr="007940B7" w:rsidRDefault="0013376F"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sidRPr="007940B7">
        <w:rPr>
          <w:rFonts w:ascii="Arial" w:hAnsi="Arial" w:cs="Arial"/>
          <w:sz w:val="28"/>
          <w:szCs w:val="28"/>
        </w:rPr>
        <w:t>Findings of internal audit work undertaken during the year</w:t>
      </w:r>
    </w:p>
    <w:p w:rsidR="001E129A"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Pr>
          <w:sz w:val="24"/>
          <w:szCs w:val="24"/>
        </w:rPr>
        <w:t>Administration of the Pension Fund in relation to its membership</w:t>
      </w:r>
    </w:p>
    <w:p w:rsidR="005920A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5920A5">
        <w:rPr>
          <w:rFonts w:ascii="Arial" w:hAnsi="Arial" w:cs="Arial"/>
          <w:sz w:val="24"/>
          <w:szCs w:val="24"/>
        </w:rPr>
        <w:t xml:space="preserve">We have provided substantial assurance that the Pension Fund is properly administered and well controlled. We assessed the controls in place to manage </w:t>
      </w:r>
      <w:r>
        <w:rPr>
          <w:rFonts w:ascii="Arial" w:hAnsi="Arial" w:cs="Arial"/>
          <w:sz w:val="24"/>
          <w:szCs w:val="24"/>
        </w:rPr>
        <w:t>a range of relevant</w:t>
      </w:r>
      <w:r w:rsidRPr="005920A5">
        <w:rPr>
          <w:rFonts w:ascii="Arial" w:hAnsi="Arial" w:cs="Arial"/>
          <w:sz w:val="24"/>
          <w:szCs w:val="24"/>
        </w:rPr>
        <w:t xml:space="preserve"> risks</w:t>
      </w:r>
      <w:r>
        <w:rPr>
          <w:rFonts w:ascii="Arial" w:hAnsi="Arial" w:cs="Arial"/>
          <w:sz w:val="24"/>
          <w:szCs w:val="24"/>
        </w:rPr>
        <w:t xml:space="preserve"> and to ensure that</w:t>
      </w:r>
      <w:r w:rsidRPr="005920A5">
        <w:rPr>
          <w:rFonts w:ascii="Arial" w:hAnsi="Arial" w:cs="Arial"/>
          <w:sz w:val="24"/>
          <w:szCs w:val="24"/>
        </w:rPr>
        <w:t>:</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The Altair system is correctly configured;</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Eligible employe</w:t>
      </w:r>
      <w:r w:rsidRPr="00534342">
        <w:rPr>
          <w:rFonts w:cs="Arial"/>
        </w:rPr>
        <w:t>es have been automatically enrolled into the pension scheme in accordance with the regulations;</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Only eligible employees are admitted to the pension scheme;</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Employees who opt-out and retirees are removed correctly from the pension scheme;</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Transfers in are p</w:t>
      </w:r>
      <w:r w:rsidRPr="00534342">
        <w:rPr>
          <w:rFonts w:cs="Arial"/>
        </w:rPr>
        <w:t>rocessed correctly, the funds are received and employees correctly accrue service credit;</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Transfers out are processed correctly;</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Retirement payments are calculated and paid correctly;</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Death grants and lump sums are calculated and paid correctly; and,</w:t>
      </w:r>
    </w:p>
    <w:p w:rsidR="00534342" w:rsidRPr="00534342" w:rsidRDefault="0013376F" w:rsidP="000474B7">
      <w:pPr>
        <w:pStyle w:val="ListParagraph"/>
        <w:numPr>
          <w:ilvl w:val="0"/>
          <w:numId w:val="8"/>
        </w:numPr>
        <w:spacing w:before="120" w:after="120"/>
        <w:ind w:hanging="454"/>
        <w:contextualSpacing w:val="0"/>
        <w:rPr>
          <w:rFonts w:cs="Arial"/>
        </w:rPr>
      </w:pPr>
      <w:r w:rsidRPr="00534342">
        <w:rPr>
          <w:rFonts w:cs="Arial"/>
        </w:rPr>
        <w:t>Contr</w:t>
      </w:r>
      <w:r w:rsidRPr="00534342">
        <w:rPr>
          <w:rFonts w:cs="Arial"/>
        </w:rPr>
        <w:t>ibutions are properly monitored.</w:t>
      </w:r>
    </w:p>
    <w:p w:rsidR="00F117DD" w:rsidRPr="005920A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We have no significant findings to report</w:t>
      </w:r>
      <w:r>
        <w:rPr>
          <w:rFonts w:ascii="Arial" w:hAnsi="Arial" w:cs="Arial"/>
          <w:sz w:val="24"/>
          <w:szCs w:val="24"/>
        </w:rPr>
        <w:t xml:space="preserve">, although we found that the Epic system </w:t>
      </w:r>
      <w:r>
        <w:rPr>
          <w:rFonts w:ascii="Arial" w:hAnsi="Arial" w:cs="Arial"/>
          <w:sz w:val="24"/>
          <w:szCs w:val="24"/>
        </w:rPr>
        <w:t xml:space="preserve">is not being fully utilised as </w:t>
      </w:r>
      <w:r>
        <w:rPr>
          <w:rFonts w:ascii="Arial" w:hAnsi="Arial" w:cs="Arial"/>
          <w:sz w:val="24"/>
          <w:szCs w:val="24"/>
        </w:rPr>
        <w:t>f</w:t>
      </w:r>
      <w:r>
        <w:rPr>
          <w:rFonts w:ascii="Arial" w:hAnsi="Arial" w:cs="Arial"/>
          <w:sz w:val="24"/>
          <w:szCs w:val="24"/>
        </w:rPr>
        <w:t xml:space="preserve">iles </w:t>
      </w:r>
      <w:r>
        <w:rPr>
          <w:rFonts w:ascii="Arial" w:hAnsi="Arial" w:cs="Arial"/>
          <w:sz w:val="24"/>
          <w:szCs w:val="24"/>
        </w:rPr>
        <w:t>are</w:t>
      </w:r>
      <w:r>
        <w:rPr>
          <w:rFonts w:ascii="Arial" w:hAnsi="Arial" w:cs="Arial"/>
          <w:sz w:val="24"/>
          <w:szCs w:val="24"/>
        </w:rPr>
        <w:t xml:space="preserve"> not being submi</w:t>
      </w:r>
      <w:r>
        <w:rPr>
          <w:rFonts w:ascii="Arial" w:hAnsi="Arial" w:cs="Arial"/>
          <w:sz w:val="24"/>
          <w:szCs w:val="24"/>
        </w:rPr>
        <w:t xml:space="preserve">tted regularly by all employers. We also found that </w:t>
      </w:r>
      <w:r>
        <w:rPr>
          <w:rFonts w:ascii="Arial" w:hAnsi="Arial" w:cs="Arial"/>
          <w:sz w:val="24"/>
          <w:szCs w:val="24"/>
        </w:rPr>
        <w:t>Your Pensions Service were correc</w:t>
      </w:r>
      <w:r>
        <w:rPr>
          <w:rFonts w:ascii="Arial" w:hAnsi="Arial" w:cs="Arial"/>
          <w:sz w:val="24"/>
          <w:szCs w:val="24"/>
        </w:rPr>
        <w:t>ting errors on the LCC payroll files</w:t>
      </w:r>
      <w:r>
        <w:rPr>
          <w:rFonts w:ascii="Arial" w:hAnsi="Arial" w:cs="Arial"/>
          <w:sz w:val="24"/>
          <w:szCs w:val="24"/>
        </w:rPr>
        <w:t xml:space="preserve">, which </w:t>
      </w:r>
      <w:r>
        <w:rPr>
          <w:rFonts w:ascii="Arial" w:hAnsi="Arial" w:cs="Arial"/>
          <w:sz w:val="24"/>
          <w:szCs w:val="24"/>
        </w:rPr>
        <w:t>should not be the case</w:t>
      </w:r>
      <w:r>
        <w:rPr>
          <w:rFonts w:ascii="Arial" w:hAnsi="Arial" w:cs="Arial"/>
          <w:sz w:val="24"/>
          <w:szCs w:val="24"/>
        </w:rPr>
        <w:t xml:space="preserve">. </w:t>
      </w:r>
      <w:r>
        <w:rPr>
          <w:rFonts w:ascii="Arial" w:hAnsi="Arial" w:cs="Arial"/>
          <w:sz w:val="24"/>
          <w:szCs w:val="24"/>
        </w:rPr>
        <w:t>Your Pension Service should maintain their independence</w:t>
      </w:r>
      <w:r>
        <w:rPr>
          <w:rFonts w:ascii="Arial" w:hAnsi="Arial" w:cs="Arial"/>
          <w:sz w:val="24"/>
          <w:szCs w:val="24"/>
        </w:rPr>
        <w:t xml:space="preserve">, and the errors should be returned to </w:t>
      </w:r>
      <w:r>
        <w:rPr>
          <w:rFonts w:ascii="Arial" w:hAnsi="Arial" w:cs="Arial"/>
          <w:sz w:val="24"/>
          <w:szCs w:val="24"/>
        </w:rPr>
        <w:t>LCC</w:t>
      </w:r>
      <w:r>
        <w:rPr>
          <w:rFonts w:ascii="Arial" w:hAnsi="Arial" w:cs="Arial"/>
          <w:sz w:val="24"/>
          <w:szCs w:val="24"/>
        </w:rPr>
        <w:t xml:space="preserve"> for correction</w:t>
      </w:r>
      <w:r>
        <w:rPr>
          <w:rFonts w:ascii="Arial" w:hAnsi="Arial" w:cs="Arial"/>
          <w:sz w:val="24"/>
          <w:szCs w:val="24"/>
        </w:rPr>
        <w:t>.</w:t>
      </w:r>
    </w:p>
    <w:p w:rsidR="007113C1" w:rsidRDefault="0013376F" w:rsidP="000474B7">
      <w:pPr>
        <w:pStyle w:val="Heading3"/>
        <w:tabs>
          <w:tab w:val="left" w:pos="284"/>
        </w:tabs>
        <w:spacing w:before="120" w:after="120"/>
        <w:rPr>
          <w:sz w:val="24"/>
          <w:szCs w:val="24"/>
        </w:rPr>
      </w:pPr>
      <w:r>
        <w:rPr>
          <w:sz w:val="24"/>
          <w:szCs w:val="24"/>
        </w:rPr>
        <w:tab/>
      </w:r>
      <w:r>
        <w:rPr>
          <w:sz w:val="24"/>
          <w:szCs w:val="24"/>
        </w:rPr>
        <w:tab/>
        <w:t xml:space="preserve">  </w:t>
      </w:r>
      <w:r>
        <w:rPr>
          <w:sz w:val="24"/>
          <w:szCs w:val="24"/>
        </w:rPr>
        <w:t>Pension Fund General Ledger</w:t>
      </w:r>
    </w:p>
    <w:p w:rsidR="005920A5"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We have provided </w:t>
      </w:r>
      <w:r w:rsidRPr="005920A5">
        <w:rPr>
          <w:rFonts w:ascii="Arial" w:hAnsi="Arial" w:cs="Arial"/>
          <w:sz w:val="24"/>
          <w:szCs w:val="24"/>
        </w:rPr>
        <w:t xml:space="preserve">substantial assurance </w:t>
      </w:r>
      <w:r>
        <w:rPr>
          <w:rFonts w:ascii="Arial" w:hAnsi="Arial" w:cs="Arial"/>
          <w:sz w:val="24"/>
          <w:szCs w:val="24"/>
        </w:rPr>
        <w:t>over the operation of the accounting system supporting the Pension Fund, covering the following areas of control:</w:t>
      </w:r>
    </w:p>
    <w:p w:rsidR="00A4665A" w:rsidRPr="00B863C9" w:rsidRDefault="0013376F" w:rsidP="000474B7">
      <w:pPr>
        <w:pStyle w:val="ListParagraph"/>
        <w:numPr>
          <w:ilvl w:val="0"/>
          <w:numId w:val="7"/>
        </w:numPr>
        <w:spacing w:before="120" w:after="120"/>
        <w:contextualSpacing w:val="0"/>
        <w:rPr>
          <w:rFonts w:cs="Arial"/>
        </w:rPr>
      </w:pPr>
      <w:r w:rsidRPr="00B863C9">
        <w:rPr>
          <w:rFonts w:cs="Arial"/>
        </w:rPr>
        <w:t xml:space="preserve">New user requests </w:t>
      </w:r>
      <w:r w:rsidRPr="00B863C9">
        <w:rPr>
          <w:rFonts w:cs="Arial"/>
        </w:rPr>
        <w:t xml:space="preserve">and </w:t>
      </w:r>
      <w:r>
        <w:rPr>
          <w:rFonts w:cs="Arial"/>
        </w:rPr>
        <w:t>t</w:t>
      </w:r>
      <w:r w:rsidRPr="00B863C9">
        <w:rPr>
          <w:rFonts w:cs="Arial"/>
        </w:rPr>
        <w:t>he creation, amendment and disabling of codes on the general ledger are appropriately authorised;</w:t>
      </w:r>
    </w:p>
    <w:p w:rsidR="00A4665A" w:rsidRPr="00A4665A" w:rsidRDefault="0013376F" w:rsidP="000474B7">
      <w:pPr>
        <w:pStyle w:val="ListParagraph"/>
        <w:numPr>
          <w:ilvl w:val="0"/>
          <w:numId w:val="7"/>
        </w:numPr>
        <w:spacing w:before="120" w:after="120"/>
        <w:contextualSpacing w:val="0"/>
        <w:rPr>
          <w:rFonts w:cs="Arial"/>
        </w:rPr>
      </w:pPr>
      <w:r w:rsidRPr="00A4665A">
        <w:rPr>
          <w:rFonts w:cs="Arial"/>
        </w:rPr>
        <w:t xml:space="preserve">The system </w:t>
      </w:r>
      <w:r w:rsidRPr="00A4665A">
        <w:rPr>
          <w:rFonts w:cs="Arial"/>
        </w:rPr>
        <w:t>automatically prevents or corrects and reports debit/ credit imbalances, errors and invalid postings;</w:t>
      </w:r>
    </w:p>
    <w:p w:rsidR="00A4665A" w:rsidRPr="00A4665A" w:rsidRDefault="0013376F" w:rsidP="000474B7">
      <w:pPr>
        <w:pStyle w:val="ListParagraph"/>
        <w:numPr>
          <w:ilvl w:val="0"/>
          <w:numId w:val="7"/>
        </w:numPr>
        <w:spacing w:before="120" w:after="120"/>
        <w:contextualSpacing w:val="0"/>
        <w:rPr>
          <w:rFonts w:cs="Arial"/>
        </w:rPr>
      </w:pPr>
      <w:r w:rsidRPr="00A4665A">
        <w:rPr>
          <w:rFonts w:cs="Arial"/>
        </w:rPr>
        <w:t xml:space="preserve">Feeder files are posted and reconciled to the general ledger on a timely basis; </w:t>
      </w:r>
    </w:p>
    <w:p w:rsidR="00A4665A" w:rsidRPr="00A4665A" w:rsidRDefault="0013376F" w:rsidP="000474B7">
      <w:pPr>
        <w:pStyle w:val="ListParagraph"/>
        <w:numPr>
          <w:ilvl w:val="0"/>
          <w:numId w:val="7"/>
        </w:numPr>
        <w:spacing w:before="120" w:after="120"/>
        <w:contextualSpacing w:val="0"/>
        <w:rPr>
          <w:rFonts w:cs="Arial"/>
        </w:rPr>
      </w:pPr>
      <w:r w:rsidRPr="00A4665A">
        <w:rPr>
          <w:rFonts w:cs="Arial"/>
        </w:rPr>
        <w:t>Journal entries are properly processed and can be traced to the originato</w:t>
      </w:r>
      <w:r w:rsidRPr="00A4665A">
        <w:rPr>
          <w:rFonts w:cs="Arial"/>
        </w:rPr>
        <w:t xml:space="preserve">rs and reasons for posting; and, </w:t>
      </w:r>
    </w:p>
    <w:p w:rsidR="00A4665A" w:rsidRPr="00A4665A" w:rsidRDefault="0013376F" w:rsidP="000474B7">
      <w:pPr>
        <w:pStyle w:val="ListParagraph"/>
        <w:numPr>
          <w:ilvl w:val="0"/>
          <w:numId w:val="7"/>
        </w:numPr>
        <w:spacing w:before="120" w:after="120"/>
        <w:contextualSpacing w:val="0"/>
        <w:rPr>
          <w:rFonts w:cs="Arial"/>
        </w:rPr>
      </w:pPr>
      <w:r w:rsidRPr="00A4665A">
        <w:rPr>
          <w:rFonts w:cs="Arial"/>
        </w:rPr>
        <w:t>Holding or suspense accounts are regularly reviewed and cleared.</w:t>
      </w:r>
    </w:p>
    <w:p w:rsidR="00A4665A"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A4665A">
        <w:rPr>
          <w:rFonts w:ascii="Arial" w:hAnsi="Arial" w:cs="Arial"/>
          <w:sz w:val="24"/>
          <w:szCs w:val="24"/>
        </w:rPr>
        <w:t>We did not identify any major areas of concern</w:t>
      </w:r>
      <w:r>
        <w:rPr>
          <w:rFonts w:ascii="Arial" w:hAnsi="Arial" w:cs="Arial"/>
          <w:sz w:val="24"/>
          <w:szCs w:val="24"/>
        </w:rPr>
        <w:t>, although w</w:t>
      </w:r>
      <w:r w:rsidRPr="00A4665A">
        <w:rPr>
          <w:rFonts w:ascii="Arial" w:hAnsi="Arial" w:cs="Arial"/>
          <w:sz w:val="24"/>
          <w:szCs w:val="24"/>
        </w:rPr>
        <w:t xml:space="preserve">e </w:t>
      </w:r>
      <w:r>
        <w:rPr>
          <w:rFonts w:ascii="Arial" w:hAnsi="Arial" w:cs="Arial"/>
          <w:sz w:val="24"/>
          <w:szCs w:val="24"/>
        </w:rPr>
        <w:t>identified</w:t>
      </w:r>
      <w:r w:rsidRPr="00A4665A">
        <w:rPr>
          <w:rFonts w:ascii="Arial" w:hAnsi="Arial" w:cs="Arial"/>
          <w:sz w:val="24"/>
          <w:szCs w:val="24"/>
        </w:rPr>
        <w:t xml:space="preserve"> officers who had access to the general ledger who no longer required this access </w:t>
      </w:r>
      <w:r>
        <w:rPr>
          <w:rFonts w:ascii="Arial" w:hAnsi="Arial" w:cs="Arial"/>
          <w:sz w:val="24"/>
          <w:szCs w:val="24"/>
        </w:rPr>
        <w:t>after</w:t>
      </w:r>
      <w:r>
        <w:rPr>
          <w:rFonts w:ascii="Arial" w:hAnsi="Arial" w:cs="Arial"/>
          <w:sz w:val="24"/>
          <w:szCs w:val="24"/>
        </w:rPr>
        <w:t xml:space="preserve"> </w:t>
      </w:r>
      <w:r>
        <w:rPr>
          <w:rFonts w:ascii="Arial" w:hAnsi="Arial" w:cs="Arial"/>
          <w:sz w:val="24"/>
          <w:szCs w:val="24"/>
        </w:rPr>
        <w:t>moving on to other roles</w:t>
      </w:r>
      <w:r>
        <w:rPr>
          <w:rFonts w:ascii="Arial" w:hAnsi="Arial" w:cs="Arial"/>
          <w:sz w:val="24"/>
          <w:szCs w:val="24"/>
        </w:rPr>
        <w:t>. Additionally</w:t>
      </w:r>
      <w:r>
        <w:rPr>
          <w:rFonts w:ascii="Arial" w:hAnsi="Arial" w:cs="Arial"/>
          <w:sz w:val="24"/>
          <w:szCs w:val="24"/>
        </w:rPr>
        <w:t xml:space="preserve"> a number of unreconciled items on </w:t>
      </w:r>
      <w:r w:rsidRPr="00A4665A">
        <w:rPr>
          <w:rFonts w:ascii="Arial" w:hAnsi="Arial" w:cs="Arial"/>
          <w:sz w:val="24"/>
          <w:szCs w:val="24"/>
        </w:rPr>
        <w:t>the quarterly reconciliation of the added</w:t>
      </w:r>
      <w:r>
        <w:rPr>
          <w:rFonts w:ascii="Arial" w:hAnsi="Arial" w:cs="Arial"/>
          <w:sz w:val="24"/>
          <w:szCs w:val="24"/>
        </w:rPr>
        <w:t xml:space="preserve"> year recharges control </w:t>
      </w:r>
      <w:r>
        <w:rPr>
          <w:rFonts w:ascii="Arial" w:hAnsi="Arial" w:cs="Arial"/>
          <w:sz w:val="24"/>
          <w:szCs w:val="24"/>
        </w:rPr>
        <w:t xml:space="preserve">account </w:t>
      </w:r>
      <w:r>
        <w:rPr>
          <w:rFonts w:ascii="Arial" w:hAnsi="Arial" w:cs="Arial"/>
          <w:sz w:val="24"/>
          <w:szCs w:val="24"/>
        </w:rPr>
        <w:t>had not been followed up. Actions have been agreed to</w:t>
      </w:r>
      <w:r>
        <w:rPr>
          <w:rFonts w:ascii="Arial" w:hAnsi="Arial" w:cs="Arial"/>
          <w:sz w:val="24"/>
          <w:szCs w:val="24"/>
        </w:rPr>
        <w:t xml:space="preserve"> address each of these matters.</w:t>
      </w:r>
    </w:p>
    <w:p w:rsidR="00B863C9"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 xml:space="preserve">Work has also been </w:t>
      </w:r>
      <w:r>
        <w:rPr>
          <w:rFonts w:ascii="Arial" w:hAnsi="Arial" w:cs="Arial"/>
          <w:sz w:val="24"/>
          <w:szCs w:val="24"/>
        </w:rPr>
        <w:t>undertaken to ascertain the progress made in implementing the two agreed actions arising from the 2014/15 review of this area. One action, relating to the reconciliation of the BACS control account has been appropriately implemented. The second action, rel</w:t>
      </w:r>
      <w:r>
        <w:rPr>
          <w:rFonts w:ascii="Arial" w:hAnsi="Arial" w:cs="Arial"/>
          <w:sz w:val="24"/>
          <w:szCs w:val="24"/>
        </w:rPr>
        <w:t>ating to a review of the transactions coded to the Pension Fund payment codes has not been implemented</w:t>
      </w:r>
      <w:r>
        <w:rPr>
          <w:rFonts w:ascii="Arial" w:hAnsi="Arial" w:cs="Arial"/>
          <w:sz w:val="24"/>
          <w:szCs w:val="24"/>
        </w:rPr>
        <w:t>; w</w:t>
      </w:r>
      <w:r>
        <w:rPr>
          <w:rFonts w:ascii="Arial" w:hAnsi="Arial" w:cs="Arial"/>
          <w:sz w:val="24"/>
          <w:szCs w:val="24"/>
        </w:rPr>
        <w:t>hilst we have been informed that the transactions are reviewed, no evidence of the review process is maintained.</w:t>
      </w:r>
    </w:p>
    <w:p w:rsidR="007113C1" w:rsidRPr="00004651" w:rsidRDefault="0013376F" w:rsidP="000474B7">
      <w:pPr>
        <w:pStyle w:val="Heading3"/>
        <w:tabs>
          <w:tab w:val="left" w:pos="284"/>
        </w:tabs>
        <w:spacing w:before="120" w:after="120"/>
        <w:rPr>
          <w:sz w:val="24"/>
          <w:szCs w:val="24"/>
        </w:rPr>
      </w:pPr>
      <w:r>
        <w:rPr>
          <w:sz w:val="24"/>
          <w:szCs w:val="24"/>
        </w:rPr>
        <w:tab/>
      </w:r>
      <w:r>
        <w:rPr>
          <w:sz w:val="24"/>
          <w:szCs w:val="24"/>
        </w:rPr>
        <w:tab/>
        <w:t xml:space="preserve">  Listed equities</w:t>
      </w:r>
    </w:p>
    <w:p w:rsidR="00A4665A"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004651">
        <w:rPr>
          <w:rFonts w:ascii="Arial" w:hAnsi="Arial" w:cs="Arial"/>
          <w:sz w:val="24"/>
          <w:szCs w:val="24"/>
        </w:rPr>
        <w:t xml:space="preserve">We </w:t>
      </w:r>
      <w:r>
        <w:rPr>
          <w:rFonts w:ascii="Arial" w:hAnsi="Arial" w:cs="Arial"/>
          <w:sz w:val="24"/>
          <w:szCs w:val="24"/>
        </w:rPr>
        <w:t>have provided f</w:t>
      </w:r>
      <w:r>
        <w:rPr>
          <w:rFonts w:ascii="Arial" w:hAnsi="Arial" w:cs="Arial"/>
          <w:sz w:val="24"/>
          <w:szCs w:val="24"/>
        </w:rPr>
        <w:t xml:space="preserve">ull assurance that the controls operating over listed equities are adequately designed and were operating effectively. </w:t>
      </w:r>
      <w:r>
        <w:rPr>
          <w:rFonts w:ascii="Arial" w:hAnsi="Arial" w:cs="Arial"/>
          <w:sz w:val="24"/>
          <w:szCs w:val="24"/>
        </w:rPr>
        <w:t xml:space="preserve">Our review included examination of the following areas of control: </w:t>
      </w:r>
    </w:p>
    <w:p w:rsidR="00A4665A" w:rsidRPr="00A4665A" w:rsidRDefault="0013376F" w:rsidP="000474B7">
      <w:pPr>
        <w:pStyle w:val="ListParagraph"/>
        <w:numPr>
          <w:ilvl w:val="0"/>
          <w:numId w:val="6"/>
        </w:numPr>
        <w:spacing w:before="120" w:after="120"/>
        <w:contextualSpacing w:val="0"/>
        <w:rPr>
          <w:rFonts w:cs="Arial"/>
        </w:rPr>
      </w:pPr>
      <w:r w:rsidRPr="00A4665A">
        <w:rPr>
          <w:rFonts w:cs="Arial"/>
        </w:rPr>
        <w:t>A signed agreement is in place with each fund manager detailing manag</w:t>
      </w:r>
      <w:r w:rsidRPr="00A4665A">
        <w:rPr>
          <w:rFonts w:cs="Arial"/>
        </w:rPr>
        <w:t>ement charges payable;</w:t>
      </w:r>
    </w:p>
    <w:p w:rsidR="00A4665A" w:rsidRPr="00A4665A" w:rsidRDefault="0013376F" w:rsidP="000474B7">
      <w:pPr>
        <w:pStyle w:val="ListParagraph"/>
        <w:numPr>
          <w:ilvl w:val="0"/>
          <w:numId w:val="6"/>
        </w:numPr>
        <w:spacing w:before="120" w:after="120"/>
        <w:contextualSpacing w:val="0"/>
        <w:rPr>
          <w:rFonts w:cs="Arial"/>
        </w:rPr>
      </w:pPr>
      <w:r w:rsidRPr="00A4665A">
        <w:rPr>
          <w:rFonts w:cs="Arial"/>
        </w:rPr>
        <w:t>Performance of the investments are regularly monitored through the Investment Panel and the Pension Fund Committee;</w:t>
      </w:r>
    </w:p>
    <w:p w:rsidR="00A4665A" w:rsidRPr="00A4665A" w:rsidRDefault="0013376F" w:rsidP="000474B7">
      <w:pPr>
        <w:pStyle w:val="ListParagraph"/>
        <w:numPr>
          <w:ilvl w:val="0"/>
          <w:numId w:val="6"/>
        </w:numPr>
        <w:spacing w:before="120" w:after="120"/>
        <w:contextualSpacing w:val="0"/>
        <w:rPr>
          <w:rFonts w:cs="Arial"/>
        </w:rPr>
      </w:pPr>
      <w:r w:rsidRPr="00A4665A">
        <w:rPr>
          <w:rFonts w:cs="Arial"/>
        </w:rPr>
        <w:t>The information used to monitor performance is reliable;</w:t>
      </w:r>
      <w:r>
        <w:rPr>
          <w:rFonts w:cs="Arial"/>
        </w:rPr>
        <w:t xml:space="preserve"> and</w:t>
      </w:r>
    </w:p>
    <w:p w:rsidR="00B863C9" w:rsidRPr="00A12FE1" w:rsidRDefault="0013376F" w:rsidP="000474B7">
      <w:pPr>
        <w:pStyle w:val="ListParagraph"/>
        <w:numPr>
          <w:ilvl w:val="0"/>
          <w:numId w:val="6"/>
        </w:numPr>
        <w:spacing w:before="120" w:after="120"/>
        <w:contextualSpacing w:val="0"/>
        <w:rPr>
          <w:rFonts w:cs="Arial"/>
        </w:rPr>
      </w:pPr>
      <w:r w:rsidRPr="00A4665A">
        <w:rPr>
          <w:rFonts w:cs="Arial"/>
        </w:rPr>
        <w:t xml:space="preserve">Management fees paid to each of the fund managers is in </w:t>
      </w:r>
      <w:r w:rsidRPr="00A4665A">
        <w:rPr>
          <w:rFonts w:cs="Arial"/>
        </w:rPr>
        <w:t>accordance with the agreements</w:t>
      </w:r>
      <w:r>
        <w:rPr>
          <w:rFonts w:cs="Arial"/>
        </w:rPr>
        <w:t xml:space="preserve"> and i</w:t>
      </w:r>
      <w:r w:rsidRPr="00A4665A">
        <w:rPr>
          <w:rFonts w:cs="Arial"/>
        </w:rPr>
        <w:t>nvoices are checked and authorised appropriately before being paid.</w:t>
      </w:r>
    </w:p>
    <w:p w:rsidR="00C42AB5" w:rsidRDefault="0013376F" w:rsidP="000474B7">
      <w:pPr>
        <w:spacing w:before="120" w:after="120" w:line="240" w:lineRule="auto"/>
        <w:ind w:firstLine="720"/>
        <w:rPr>
          <w:rFonts w:ascii="Arial" w:hAnsi="Arial" w:cs="Arial"/>
          <w:b/>
          <w:sz w:val="24"/>
          <w:szCs w:val="24"/>
        </w:rPr>
      </w:pPr>
      <w:r>
        <w:rPr>
          <w:rFonts w:ascii="Arial" w:hAnsi="Arial" w:cs="Arial"/>
          <w:b/>
          <w:sz w:val="24"/>
          <w:szCs w:val="24"/>
        </w:rPr>
        <w:t xml:space="preserve">  </w:t>
      </w:r>
      <w:r w:rsidRPr="00C42AB5">
        <w:rPr>
          <w:rFonts w:ascii="Arial" w:hAnsi="Arial" w:cs="Arial"/>
          <w:b/>
          <w:sz w:val="24"/>
          <w:szCs w:val="24"/>
        </w:rPr>
        <w:t>Performance monitoring</w:t>
      </w:r>
    </w:p>
    <w:p w:rsidR="00B863C9" w:rsidRDefault="0013376F" w:rsidP="000474B7">
      <w:pPr>
        <w:pStyle w:val="ListParagraph"/>
        <w:numPr>
          <w:ilvl w:val="1"/>
          <w:numId w:val="10"/>
        </w:numPr>
        <w:spacing w:before="120" w:after="120"/>
        <w:ind w:left="851" w:hanging="851"/>
        <w:contextualSpacing w:val="0"/>
        <w:rPr>
          <w:rFonts w:cs="Arial"/>
        </w:rPr>
      </w:pPr>
      <w:r>
        <w:rPr>
          <w:rFonts w:cs="Arial"/>
        </w:rPr>
        <w:t xml:space="preserve">Following audit work begun in 2014/15, we </w:t>
      </w:r>
      <w:r w:rsidRPr="00871A07">
        <w:rPr>
          <w:rFonts w:cs="Arial"/>
        </w:rPr>
        <w:t>have provided substantial assurance over the controls in place to manage receipt, ana</w:t>
      </w:r>
      <w:r w:rsidRPr="00871A07">
        <w:rPr>
          <w:rFonts w:cs="Arial"/>
        </w:rPr>
        <w:t xml:space="preserve">lysis and monitoring of </w:t>
      </w:r>
      <w:r>
        <w:rPr>
          <w:rFonts w:cs="Arial"/>
        </w:rPr>
        <w:t xml:space="preserve">the </w:t>
      </w:r>
      <w:r w:rsidRPr="00871A07">
        <w:rPr>
          <w:rFonts w:cs="Arial"/>
        </w:rPr>
        <w:t xml:space="preserve">performance information received from fund managers. </w:t>
      </w:r>
    </w:p>
    <w:p w:rsidR="00C42AB5" w:rsidRDefault="0013376F" w:rsidP="000474B7">
      <w:pPr>
        <w:pStyle w:val="ListParagraph"/>
        <w:numPr>
          <w:ilvl w:val="1"/>
          <w:numId w:val="10"/>
        </w:numPr>
        <w:spacing w:before="120" w:after="120"/>
        <w:ind w:left="851" w:hanging="851"/>
        <w:contextualSpacing w:val="0"/>
        <w:rPr>
          <w:rFonts w:cs="Arial"/>
        </w:rPr>
      </w:pPr>
      <w:r>
        <w:rPr>
          <w:rFonts w:cs="Arial"/>
        </w:rPr>
        <w:t xml:space="preserve">This audit </w:t>
      </w:r>
      <w:r w:rsidRPr="00C42AB5">
        <w:rPr>
          <w:rFonts w:cs="Arial"/>
        </w:rPr>
        <w:t xml:space="preserve">focussed on the monitoring arrangements specifically for investments which fall within the credit strategy and infrastructure classes only. </w:t>
      </w:r>
      <w:r>
        <w:rPr>
          <w:rFonts w:cs="Arial"/>
        </w:rPr>
        <w:t>We examined</w:t>
      </w:r>
      <w:r w:rsidRPr="00C42AB5">
        <w:rPr>
          <w:rFonts w:cs="Arial"/>
        </w:rPr>
        <w:t xml:space="preserve"> controls </w:t>
      </w:r>
      <w:r>
        <w:rPr>
          <w:rFonts w:cs="Arial"/>
        </w:rPr>
        <w:t>over</w:t>
      </w:r>
      <w:r w:rsidRPr="00C42AB5">
        <w:rPr>
          <w:rFonts w:cs="Arial"/>
        </w:rPr>
        <w:t xml:space="preserve"> the key risk that investments which do not achieve the minimum return or do not remain appropriate are not identified, and remedial action is not undertaken because:</w:t>
      </w:r>
    </w:p>
    <w:p w:rsidR="00C42AB5" w:rsidRPr="00C42AB5" w:rsidRDefault="0013376F" w:rsidP="000474B7">
      <w:pPr>
        <w:pStyle w:val="ListParagraph"/>
        <w:numPr>
          <w:ilvl w:val="1"/>
          <w:numId w:val="16"/>
        </w:numPr>
        <w:spacing w:before="120" w:after="120"/>
        <w:ind w:left="1134"/>
        <w:contextualSpacing w:val="0"/>
        <w:rPr>
          <w:rFonts w:cs="Arial"/>
        </w:rPr>
      </w:pPr>
      <w:r w:rsidRPr="00C42AB5">
        <w:rPr>
          <w:rFonts w:cs="Arial"/>
        </w:rPr>
        <w:t>Investment performance information is not available;</w:t>
      </w:r>
    </w:p>
    <w:p w:rsidR="00C42AB5" w:rsidRPr="00C42AB5" w:rsidRDefault="0013376F" w:rsidP="000474B7">
      <w:pPr>
        <w:pStyle w:val="ListParagraph"/>
        <w:numPr>
          <w:ilvl w:val="1"/>
          <w:numId w:val="16"/>
        </w:numPr>
        <w:spacing w:before="120" w:after="120"/>
        <w:ind w:left="1134"/>
        <w:contextualSpacing w:val="0"/>
        <w:rPr>
          <w:rFonts w:cs="Arial"/>
        </w:rPr>
      </w:pPr>
      <w:r w:rsidRPr="00C42AB5">
        <w:rPr>
          <w:rFonts w:cs="Arial"/>
        </w:rPr>
        <w:t xml:space="preserve">Investment performance is not </w:t>
      </w:r>
      <w:r w:rsidRPr="00C42AB5">
        <w:rPr>
          <w:rFonts w:cs="Arial"/>
        </w:rPr>
        <w:t>monitored and benchmarked;</w:t>
      </w:r>
    </w:p>
    <w:p w:rsidR="00C42AB5" w:rsidRPr="00C42AB5" w:rsidRDefault="0013376F" w:rsidP="000474B7">
      <w:pPr>
        <w:pStyle w:val="ListParagraph"/>
        <w:numPr>
          <w:ilvl w:val="1"/>
          <w:numId w:val="16"/>
        </w:numPr>
        <w:spacing w:before="120" w:after="120"/>
        <w:ind w:left="1134"/>
        <w:contextualSpacing w:val="0"/>
        <w:rPr>
          <w:rFonts w:cs="Arial"/>
        </w:rPr>
      </w:pPr>
      <w:r w:rsidRPr="00C42AB5">
        <w:rPr>
          <w:rFonts w:cs="Arial"/>
        </w:rPr>
        <w:t>Information and intelligence on changes in relation to the investment manager, including management team composition, acquisitions and mergers, and conflicts of interest are not obtained and reviewed; or,</w:t>
      </w:r>
    </w:p>
    <w:p w:rsidR="00871A07" w:rsidRPr="000474B7" w:rsidRDefault="0013376F" w:rsidP="000474B7">
      <w:pPr>
        <w:pStyle w:val="ListParagraph"/>
        <w:numPr>
          <w:ilvl w:val="1"/>
          <w:numId w:val="16"/>
        </w:numPr>
        <w:spacing w:before="120" w:after="120"/>
        <w:ind w:left="1134"/>
        <w:contextualSpacing w:val="0"/>
        <w:rPr>
          <w:rFonts w:cs="Arial"/>
        </w:rPr>
      </w:pPr>
      <w:r w:rsidRPr="00C42AB5">
        <w:rPr>
          <w:rFonts w:cs="Arial"/>
        </w:rPr>
        <w:t>Prompt action is not tak</w:t>
      </w:r>
      <w:r w:rsidRPr="00C42AB5">
        <w:rPr>
          <w:rFonts w:cs="Arial"/>
        </w:rPr>
        <w:t>en on any issues identified from the monitoring activity.</w:t>
      </w:r>
    </w:p>
    <w:p w:rsidR="00871A07" w:rsidRPr="000474B7" w:rsidRDefault="0013376F" w:rsidP="000474B7">
      <w:pPr>
        <w:pStyle w:val="ListParagraph"/>
        <w:numPr>
          <w:ilvl w:val="1"/>
          <w:numId w:val="10"/>
        </w:numPr>
        <w:spacing w:before="120" w:after="120"/>
        <w:ind w:left="851" w:hanging="851"/>
        <w:contextualSpacing w:val="0"/>
        <w:rPr>
          <w:rFonts w:cs="Arial"/>
        </w:rPr>
      </w:pPr>
      <w:r w:rsidRPr="00C42AB5">
        <w:rPr>
          <w:rFonts w:cs="Arial"/>
        </w:rPr>
        <w:t>Financial and performance information in relation to the investments held by</w:t>
      </w:r>
      <w:r>
        <w:rPr>
          <w:rFonts w:cs="Arial"/>
        </w:rPr>
        <w:t xml:space="preserve"> </w:t>
      </w:r>
      <w:r w:rsidRPr="00C42AB5">
        <w:rPr>
          <w:rFonts w:cs="Arial"/>
        </w:rPr>
        <w:t xml:space="preserve">the Pension Fund is received on a monthly basis and is recorded and reported by the Investment Management team. </w:t>
      </w:r>
      <w:r>
        <w:rPr>
          <w:rFonts w:cs="Arial"/>
        </w:rPr>
        <w:t>T</w:t>
      </w:r>
      <w:r w:rsidRPr="00C42AB5">
        <w:rPr>
          <w:rFonts w:cs="Arial"/>
        </w:rPr>
        <w:t>hese ass</w:t>
      </w:r>
      <w:r w:rsidRPr="00C42AB5">
        <w:rPr>
          <w:rFonts w:cs="Arial"/>
        </w:rPr>
        <w:t xml:space="preserve">et valuations are not independently audited, with the only independently verified information currently received being the annual audited accounts which are not used for monitoring purposes. </w:t>
      </w:r>
      <w:r>
        <w:rPr>
          <w:rFonts w:cs="Arial"/>
        </w:rPr>
        <w:t>A</w:t>
      </w:r>
      <w:r w:rsidRPr="00C42AB5">
        <w:rPr>
          <w:rFonts w:cs="Arial"/>
        </w:rPr>
        <w:t>ccordingly</w:t>
      </w:r>
      <w:r>
        <w:rPr>
          <w:rFonts w:cs="Arial"/>
        </w:rPr>
        <w:t>, i</w:t>
      </w:r>
      <w:r w:rsidRPr="00C42AB5">
        <w:rPr>
          <w:rFonts w:cs="Arial"/>
        </w:rPr>
        <w:t>t has been agreed that fund managers will additiona</w:t>
      </w:r>
      <w:r w:rsidRPr="00C42AB5">
        <w:rPr>
          <w:rFonts w:cs="Arial"/>
        </w:rPr>
        <w:t>lly be asked to submit SAS70 reports</w:t>
      </w:r>
      <w:r>
        <w:rPr>
          <w:rFonts w:cs="Arial"/>
        </w:rPr>
        <w:t xml:space="preserve"> (relating to the audit of controls within a service organisation)</w:t>
      </w:r>
      <w:r w:rsidRPr="00C42AB5">
        <w:rPr>
          <w:rFonts w:cs="Arial"/>
        </w:rPr>
        <w:t>, which will provide assurance over the operational controls within their systems.</w:t>
      </w:r>
    </w:p>
    <w:p w:rsidR="00C42AB5" w:rsidRDefault="0013376F" w:rsidP="000474B7">
      <w:pPr>
        <w:pStyle w:val="ListParagraph"/>
        <w:numPr>
          <w:ilvl w:val="1"/>
          <w:numId w:val="10"/>
        </w:numPr>
        <w:spacing w:before="120" w:after="120"/>
        <w:ind w:left="851" w:hanging="851"/>
        <w:contextualSpacing w:val="0"/>
        <w:rPr>
          <w:rFonts w:cs="Arial"/>
        </w:rPr>
      </w:pPr>
      <w:r w:rsidRPr="00C42AB5">
        <w:rPr>
          <w:rFonts w:cs="Arial"/>
        </w:rPr>
        <w:t>Whilst analysts review and report to investment managers on the informa</w:t>
      </w:r>
      <w:r w:rsidRPr="00C42AB5">
        <w:rPr>
          <w:rFonts w:cs="Arial"/>
        </w:rPr>
        <w:t>tion received on a quarterly basis, controls could also be strengthened if this analysis was documented and the review process evidenced.</w:t>
      </w:r>
    </w:p>
    <w:p w:rsidR="00871A07" w:rsidRPr="00CC463B" w:rsidRDefault="0013376F" w:rsidP="00F902A4">
      <w:pPr>
        <w:pStyle w:val="ListParagraph"/>
        <w:numPr>
          <w:ilvl w:val="1"/>
          <w:numId w:val="10"/>
        </w:numPr>
        <w:spacing w:before="120" w:after="120"/>
        <w:ind w:left="851" w:hanging="851"/>
        <w:contextualSpacing w:val="0"/>
        <w:rPr>
          <w:rFonts w:cs="Arial"/>
        </w:rPr>
      </w:pPr>
      <w:r w:rsidRPr="00CC463B">
        <w:rPr>
          <w:rFonts w:cs="Arial"/>
        </w:rPr>
        <w:t>In addition to the monitoring undertaken by the analysts and investment managers, performance and asset allocations ar</w:t>
      </w:r>
      <w:r w:rsidRPr="00CC463B">
        <w:rPr>
          <w:rFonts w:cs="Arial"/>
        </w:rPr>
        <w:t>e reviewed by the Investment Panel. Although the value of the investments held as at February 2015 exceeded the benchmark asset allocation by a small amount, the position is being appropriately monitored.</w:t>
      </w:r>
    </w:p>
    <w:p w:rsidR="00B863C9" w:rsidRPr="000474B7" w:rsidRDefault="0013376F" w:rsidP="000474B7">
      <w:pPr>
        <w:pStyle w:val="ListParagraph"/>
        <w:numPr>
          <w:ilvl w:val="1"/>
          <w:numId w:val="10"/>
        </w:numPr>
        <w:spacing w:before="120" w:after="120"/>
        <w:ind w:left="851" w:hanging="851"/>
        <w:contextualSpacing w:val="0"/>
        <w:rPr>
          <w:rFonts w:cs="Arial"/>
        </w:rPr>
      </w:pPr>
      <w:r w:rsidRPr="00C42AB5">
        <w:rPr>
          <w:rFonts w:cs="Arial"/>
        </w:rPr>
        <w:t>Subsequent to the due diligence process completed p</w:t>
      </w:r>
      <w:r w:rsidRPr="00C42AB5">
        <w:rPr>
          <w:rFonts w:cs="Arial"/>
        </w:rPr>
        <w:t>rior to the initial investment decision being taken, there is limited evidence provided to the Pension Fund Investment Management team to confirm that key qualitative factors within the Fund Management organisation are still appropriate. It has therefore b</w:t>
      </w:r>
      <w:r w:rsidRPr="00C42AB5">
        <w:rPr>
          <w:rFonts w:cs="Arial"/>
        </w:rPr>
        <w:t>een agreed that fund managers will be asked to complete an annual questionnaire to provide formal assurance that key people are still in place and that the value and types of funds being managed are consistent with expectations.</w:t>
      </w:r>
    </w:p>
    <w:p w:rsidR="00B863C9" w:rsidRDefault="0013376F" w:rsidP="000474B7">
      <w:pPr>
        <w:pStyle w:val="ListParagraph"/>
        <w:numPr>
          <w:ilvl w:val="0"/>
          <w:numId w:val="0"/>
        </w:numPr>
        <w:spacing w:before="120" w:after="120"/>
        <w:ind w:left="851"/>
        <w:contextualSpacing w:val="0"/>
        <w:rPr>
          <w:rFonts w:cs="Arial"/>
          <w:b/>
        </w:rPr>
      </w:pPr>
      <w:r w:rsidRPr="00B863C9">
        <w:rPr>
          <w:rFonts w:cs="Arial"/>
          <w:b/>
        </w:rPr>
        <w:t>National Fraud Initiative</w:t>
      </w:r>
    </w:p>
    <w:p w:rsidR="00B863C9" w:rsidRDefault="0013376F" w:rsidP="000474B7">
      <w:pPr>
        <w:pStyle w:val="ListParagraph"/>
        <w:numPr>
          <w:ilvl w:val="1"/>
          <w:numId w:val="10"/>
        </w:numPr>
        <w:spacing w:before="120" w:after="120"/>
        <w:ind w:left="851" w:hanging="851"/>
        <w:contextualSpacing w:val="0"/>
        <w:rPr>
          <w:rFonts w:cs="Arial"/>
        </w:rPr>
      </w:pPr>
      <w:r>
        <w:rPr>
          <w:rFonts w:cs="Arial"/>
        </w:rPr>
        <w:t>T</w:t>
      </w:r>
      <w:r>
        <w:rPr>
          <w:rFonts w:cs="Arial"/>
        </w:rPr>
        <w:t>he matches from the 2014/15 exercise, shared with Your Pensions Service and investigated to date are shown in the table below:</w:t>
      </w:r>
    </w:p>
    <w:tbl>
      <w:tblPr>
        <w:tblStyle w:val="TableGrid"/>
        <w:tblW w:w="0" w:type="auto"/>
        <w:tblInd w:w="851" w:type="dxa"/>
        <w:tblLook w:val="04A0" w:firstRow="1" w:lastRow="0" w:firstColumn="1" w:lastColumn="0" w:noHBand="0" w:noVBand="1"/>
      </w:tblPr>
      <w:tblGrid>
        <w:gridCol w:w="2075"/>
        <w:gridCol w:w="1989"/>
        <w:gridCol w:w="2125"/>
        <w:gridCol w:w="2022"/>
      </w:tblGrid>
      <w:tr w:rsidR="004508A8" w:rsidTr="002D5FD1">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p>
        </w:tc>
        <w:tc>
          <w:tcPr>
            <w:tcW w:w="2265"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Number of data matching reports</w:t>
            </w:r>
          </w:p>
        </w:tc>
        <w:tc>
          <w:tcPr>
            <w:tcW w:w="2266"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Number of matches recommended for investigation</w:t>
            </w:r>
          </w:p>
        </w:tc>
        <w:tc>
          <w:tcPr>
            <w:tcW w:w="2266"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Number of records processed and cleared</w:t>
            </w:r>
          </w:p>
        </w:tc>
      </w:tr>
      <w:tr w:rsidR="004508A8" w:rsidTr="001D4851">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Comparison of pension records to deceased person records</w:t>
            </w:r>
          </w:p>
        </w:tc>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810</w:t>
            </w:r>
          </w:p>
        </w:tc>
        <w:tc>
          <w:tcPr>
            <w:tcW w:w="2266"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221</w:t>
            </w:r>
          </w:p>
        </w:tc>
        <w:tc>
          <w:tcPr>
            <w:tcW w:w="2266"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773</w:t>
            </w:r>
          </w:p>
        </w:tc>
      </w:tr>
      <w:tr w:rsidR="004508A8" w:rsidTr="001D4851">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Comparison of pension and payroll records between and within organisations</w:t>
            </w:r>
          </w:p>
        </w:tc>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957</w:t>
            </w:r>
          </w:p>
        </w:tc>
        <w:tc>
          <w:tcPr>
            <w:tcW w:w="2266"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244</w:t>
            </w:r>
          </w:p>
        </w:tc>
        <w:tc>
          <w:tcPr>
            <w:tcW w:w="2266" w:type="dxa"/>
          </w:tcPr>
          <w:p w:rsidR="001D4851" w:rsidRPr="0012431C" w:rsidRDefault="0013376F" w:rsidP="001D4851">
            <w:pPr>
              <w:pStyle w:val="ListParagraph"/>
              <w:numPr>
                <w:ilvl w:val="0"/>
                <w:numId w:val="0"/>
              </w:numPr>
              <w:spacing w:before="120" w:after="120"/>
              <w:contextualSpacing w:val="0"/>
              <w:rPr>
                <w:rFonts w:cs="Arial"/>
                <w:sz w:val="22"/>
                <w:szCs w:val="22"/>
              </w:rPr>
            </w:pPr>
            <w:r w:rsidRPr="0012431C">
              <w:rPr>
                <w:rFonts w:cs="Arial"/>
                <w:sz w:val="22"/>
                <w:szCs w:val="22"/>
              </w:rPr>
              <w:t>945</w:t>
            </w:r>
          </w:p>
        </w:tc>
      </w:tr>
      <w:tr w:rsidR="004508A8" w:rsidTr="002D5FD1">
        <w:tc>
          <w:tcPr>
            <w:tcW w:w="2265" w:type="dxa"/>
          </w:tcPr>
          <w:p w:rsidR="001D4851" w:rsidRPr="0012431C" w:rsidRDefault="0013376F" w:rsidP="001D4851">
            <w:pPr>
              <w:pStyle w:val="ListParagraph"/>
              <w:numPr>
                <w:ilvl w:val="0"/>
                <w:numId w:val="0"/>
              </w:numPr>
              <w:spacing w:before="120" w:after="120"/>
              <w:contextualSpacing w:val="0"/>
              <w:rPr>
                <w:rFonts w:cs="Arial"/>
                <w:sz w:val="22"/>
                <w:szCs w:val="22"/>
              </w:rPr>
            </w:pPr>
          </w:p>
        </w:tc>
        <w:tc>
          <w:tcPr>
            <w:tcW w:w="2265"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1767</w:t>
            </w:r>
          </w:p>
        </w:tc>
        <w:tc>
          <w:tcPr>
            <w:tcW w:w="2266"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465</w:t>
            </w:r>
          </w:p>
        </w:tc>
        <w:tc>
          <w:tcPr>
            <w:tcW w:w="2266" w:type="dxa"/>
            <w:shd w:val="clear" w:color="auto" w:fill="D9D9D9" w:themeFill="background1" w:themeFillShade="D9"/>
          </w:tcPr>
          <w:p w:rsidR="001D4851" w:rsidRPr="0012431C" w:rsidRDefault="0013376F" w:rsidP="001D4851">
            <w:pPr>
              <w:pStyle w:val="ListParagraph"/>
              <w:numPr>
                <w:ilvl w:val="0"/>
                <w:numId w:val="0"/>
              </w:numPr>
              <w:spacing w:before="120" w:after="120"/>
              <w:contextualSpacing w:val="0"/>
              <w:rPr>
                <w:rFonts w:cs="Arial"/>
                <w:b/>
                <w:sz w:val="22"/>
                <w:szCs w:val="22"/>
              </w:rPr>
            </w:pPr>
            <w:r w:rsidRPr="0012431C">
              <w:rPr>
                <w:rFonts w:cs="Arial"/>
                <w:b/>
                <w:sz w:val="22"/>
                <w:szCs w:val="22"/>
              </w:rPr>
              <w:t>1718</w:t>
            </w:r>
          </w:p>
        </w:tc>
      </w:tr>
    </w:tbl>
    <w:p w:rsidR="001D4851" w:rsidRDefault="0013376F" w:rsidP="001D4851">
      <w:pPr>
        <w:pStyle w:val="ListParagraph"/>
        <w:numPr>
          <w:ilvl w:val="0"/>
          <w:numId w:val="0"/>
        </w:numPr>
        <w:spacing w:before="120" w:after="120"/>
        <w:ind w:left="851"/>
        <w:contextualSpacing w:val="0"/>
        <w:rPr>
          <w:rFonts w:cs="Arial"/>
        </w:rPr>
      </w:pPr>
    </w:p>
    <w:p w:rsidR="001D4851" w:rsidRDefault="0013376F" w:rsidP="000474B7">
      <w:pPr>
        <w:pStyle w:val="ListParagraph"/>
        <w:numPr>
          <w:ilvl w:val="1"/>
          <w:numId w:val="10"/>
        </w:numPr>
        <w:spacing w:before="120" w:after="120"/>
        <w:ind w:left="851" w:hanging="851"/>
        <w:contextualSpacing w:val="0"/>
        <w:rPr>
          <w:rFonts w:cs="Arial"/>
        </w:rPr>
      </w:pPr>
      <w:r>
        <w:rPr>
          <w:rFonts w:cs="Arial"/>
        </w:rPr>
        <w:t xml:space="preserve">As at 9 May 2016, no financial errors had been identified from the 1718 records </w:t>
      </w:r>
      <w:r>
        <w:rPr>
          <w:rFonts w:cs="Arial"/>
        </w:rPr>
        <w:t>that had been opened and cleared. Nine records were still in the process of being investigated.</w:t>
      </w:r>
    </w:p>
    <w:p w:rsidR="001D4851" w:rsidRPr="00B863C9" w:rsidRDefault="0013376F" w:rsidP="000474B7">
      <w:pPr>
        <w:pStyle w:val="ListParagraph"/>
        <w:numPr>
          <w:ilvl w:val="1"/>
          <w:numId w:val="10"/>
        </w:numPr>
        <w:spacing w:before="120" w:after="120"/>
        <w:ind w:left="851" w:hanging="851"/>
        <w:contextualSpacing w:val="0"/>
        <w:rPr>
          <w:rFonts w:cs="Arial"/>
        </w:rPr>
      </w:pPr>
      <w:r>
        <w:rPr>
          <w:rFonts w:cs="Arial"/>
        </w:rPr>
        <w:t>Only records from the latest data release of December 2015 have not yet been opened.</w:t>
      </w:r>
    </w:p>
    <w:p w:rsidR="00D77E7B" w:rsidRPr="003F12C1" w:rsidRDefault="0013376F"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sidRPr="003F12C1">
        <w:rPr>
          <w:rFonts w:ascii="Arial" w:hAnsi="Arial" w:cs="Arial"/>
          <w:sz w:val="28"/>
          <w:szCs w:val="28"/>
        </w:rPr>
        <w:t>Internal audit plan 201</w:t>
      </w:r>
      <w:r>
        <w:rPr>
          <w:rFonts w:ascii="Arial" w:hAnsi="Arial" w:cs="Arial"/>
          <w:sz w:val="28"/>
          <w:szCs w:val="28"/>
        </w:rPr>
        <w:t>6</w:t>
      </w:r>
      <w:r w:rsidRPr="003F12C1">
        <w:rPr>
          <w:rFonts w:ascii="Arial" w:hAnsi="Arial" w:cs="Arial"/>
          <w:sz w:val="28"/>
          <w:szCs w:val="28"/>
        </w:rPr>
        <w:t>/1</w:t>
      </w:r>
      <w:r>
        <w:rPr>
          <w:rFonts w:ascii="Arial" w:hAnsi="Arial" w:cs="Arial"/>
          <w:sz w:val="28"/>
          <w:szCs w:val="28"/>
        </w:rPr>
        <w:t>7</w:t>
      </w:r>
    </w:p>
    <w:p w:rsidR="00E118AB" w:rsidRPr="00E118AB"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E118AB">
        <w:rPr>
          <w:rFonts w:ascii="Arial" w:hAnsi="Arial" w:cs="Arial"/>
          <w:sz w:val="24"/>
          <w:szCs w:val="24"/>
        </w:rPr>
        <w:t xml:space="preserve">The </w:t>
      </w:r>
      <w:r>
        <w:rPr>
          <w:rFonts w:ascii="Arial" w:hAnsi="Arial" w:cs="Arial"/>
          <w:sz w:val="24"/>
          <w:szCs w:val="24"/>
        </w:rPr>
        <w:t xml:space="preserve">internal audit </w:t>
      </w:r>
      <w:r w:rsidRPr="00E118AB">
        <w:rPr>
          <w:rFonts w:ascii="Arial" w:hAnsi="Arial" w:cs="Arial"/>
          <w:sz w:val="24"/>
          <w:szCs w:val="24"/>
        </w:rPr>
        <w:t xml:space="preserve">plan </w:t>
      </w:r>
      <w:r>
        <w:rPr>
          <w:rFonts w:ascii="Arial" w:hAnsi="Arial" w:cs="Arial"/>
          <w:sz w:val="24"/>
          <w:szCs w:val="24"/>
        </w:rPr>
        <w:t>for 201</w:t>
      </w:r>
      <w:r>
        <w:rPr>
          <w:rFonts w:ascii="Arial" w:hAnsi="Arial" w:cs="Arial"/>
          <w:sz w:val="24"/>
          <w:szCs w:val="24"/>
        </w:rPr>
        <w:t>6</w:t>
      </w:r>
      <w:r>
        <w:rPr>
          <w:rFonts w:ascii="Arial" w:hAnsi="Arial" w:cs="Arial"/>
          <w:sz w:val="24"/>
          <w:szCs w:val="24"/>
        </w:rPr>
        <w:t>/1</w:t>
      </w:r>
      <w:r>
        <w:rPr>
          <w:rFonts w:ascii="Arial" w:hAnsi="Arial" w:cs="Arial"/>
          <w:sz w:val="24"/>
          <w:szCs w:val="24"/>
        </w:rPr>
        <w:t>7</w:t>
      </w:r>
      <w:r>
        <w:rPr>
          <w:rFonts w:ascii="Arial" w:hAnsi="Arial" w:cs="Arial"/>
          <w:sz w:val="24"/>
          <w:szCs w:val="24"/>
        </w:rPr>
        <w:t xml:space="preserve"> </w:t>
      </w:r>
      <w:r w:rsidRPr="00E118AB">
        <w:rPr>
          <w:rFonts w:ascii="Arial" w:hAnsi="Arial" w:cs="Arial"/>
          <w:sz w:val="24"/>
          <w:szCs w:val="24"/>
        </w:rPr>
        <w:t xml:space="preserve">will </w:t>
      </w:r>
      <w:r w:rsidRPr="00E118AB">
        <w:rPr>
          <w:rFonts w:ascii="Arial" w:hAnsi="Arial" w:cs="Arial"/>
          <w:sz w:val="24"/>
          <w:szCs w:val="24"/>
        </w:rPr>
        <w:t xml:space="preserve">again </w:t>
      </w:r>
      <w:r w:rsidRPr="00E118AB">
        <w:rPr>
          <w:rFonts w:ascii="Arial" w:hAnsi="Arial" w:cs="Arial"/>
          <w:sz w:val="24"/>
          <w:szCs w:val="24"/>
        </w:rPr>
        <w:t xml:space="preserve">focus on the administration of the Fund for its members, the core accounting system supporting it, and oversight of the investments </w:t>
      </w:r>
      <w:r w:rsidRPr="00D27427">
        <w:rPr>
          <w:rFonts w:ascii="Arial" w:hAnsi="Arial" w:cs="Arial"/>
          <w:sz w:val="24"/>
          <w:szCs w:val="24"/>
        </w:rPr>
        <w:t>supporting the Fund, as well as following up the actions taken in response to our work in 201</w:t>
      </w:r>
      <w:r>
        <w:rPr>
          <w:rFonts w:ascii="Arial" w:hAnsi="Arial" w:cs="Arial"/>
          <w:sz w:val="24"/>
          <w:szCs w:val="24"/>
        </w:rPr>
        <w:t>5</w:t>
      </w:r>
      <w:r w:rsidRPr="00D27427">
        <w:rPr>
          <w:rFonts w:ascii="Arial" w:hAnsi="Arial" w:cs="Arial"/>
          <w:sz w:val="24"/>
          <w:szCs w:val="24"/>
        </w:rPr>
        <w:t>/1</w:t>
      </w:r>
      <w:r>
        <w:rPr>
          <w:rFonts w:ascii="Arial" w:hAnsi="Arial" w:cs="Arial"/>
          <w:sz w:val="24"/>
          <w:szCs w:val="24"/>
        </w:rPr>
        <w:t>6</w:t>
      </w:r>
      <w:r w:rsidRPr="00D27427">
        <w:rPr>
          <w:rFonts w:ascii="Arial" w:hAnsi="Arial" w:cs="Arial"/>
          <w:sz w:val="24"/>
          <w:szCs w:val="24"/>
        </w:rPr>
        <w:t>.</w:t>
      </w:r>
      <w:r w:rsidRPr="00D27427">
        <w:rPr>
          <w:rFonts w:ascii="Arial" w:hAnsi="Arial" w:cs="Arial"/>
          <w:sz w:val="24"/>
          <w:szCs w:val="24"/>
        </w:rPr>
        <w:t xml:space="preserve"> </w:t>
      </w:r>
    </w:p>
    <w:p w:rsidR="00E118AB"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Pr>
          <w:rFonts w:ascii="Arial" w:hAnsi="Arial" w:cs="Arial"/>
          <w:sz w:val="24"/>
          <w:szCs w:val="24"/>
        </w:rPr>
        <w:t>We will additionally con</w:t>
      </w:r>
      <w:r>
        <w:rPr>
          <w:rFonts w:ascii="Arial" w:hAnsi="Arial" w:cs="Arial"/>
          <w:sz w:val="24"/>
          <w:szCs w:val="24"/>
        </w:rPr>
        <w:t>sider the adequacy and effectiveness of the council's governance framework to achieve corporate oversight of the Pension Fund.</w:t>
      </w:r>
    </w:p>
    <w:p w:rsidR="00AF15FA" w:rsidRPr="00AF15FA" w:rsidRDefault="0013376F" w:rsidP="000474B7">
      <w:pPr>
        <w:pStyle w:val="Heading1"/>
        <w:numPr>
          <w:ilvl w:val="0"/>
          <w:numId w:val="2"/>
        </w:numPr>
        <w:tabs>
          <w:tab w:val="clear" w:pos="992"/>
          <w:tab w:val="num" w:pos="851"/>
        </w:tabs>
        <w:spacing w:before="120" w:after="120" w:line="240" w:lineRule="auto"/>
        <w:ind w:left="851" w:hanging="851"/>
        <w:rPr>
          <w:rFonts w:ascii="Arial" w:hAnsi="Arial" w:cs="Arial"/>
          <w:sz w:val="28"/>
          <w:szCs w:val="28"/>
        </w:rPr>
      </w:pPr>
      <w:r w:rsidRPr="00AF15FA">
        <w:rPr>
          <w:rFonts w:ascii="Arial" w:hAnsi="Arial" w:cs="Arial"/>
          <w:sz w:val="28"/>
          <w:szCs w:val="28"/>
        </w:rPr>
        <w:t xml:space="preserve">Internal audit </w:t>
      </w:r>
      <w:r>
        <w:rPr>
          <w:rFonts w:ascii="Arial" w:hAnsi="Arial" w:cs="Arial"/>
          <w:sz w:val="28"/>
          <w:szCs w:val="28"/>
        </w:rPr>
        <w:t>quality assurance and improvement</w:t>
      </w:r>
    </w:p>
    <w:p w:rsidR="00261F21" w:rsidRPr="00261F21"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261F21">
        <w:rPr>
          <w:rFonts w:ascii="Arial" w:hAnsi="Arial" w:cs="Arial"/>
          <w:sz w:val="24"/>
          <w:szCs w:val="24"/>
        </w:rPr>
        <w:t>The head of internal audit operates a quality assurance and improvement programm</w:t>
      </w:r>
      <w:r w:rsidRPr="00261F21">
        <w:rPr>
          <w:rFonts w:ascii="Arial" w:hAnsi="Arial" w:cs="Arial"/>
          <w:sz w:val="24"/>
          <w:szCs w:val="24"/>
        </w:rPr>
        <w:t xml:space="preserve">e that both monitors the on-going performance of internal audit activity and periodically assesses the Internal Audit Service's compliance with the PSIAS. This includes both internal and external assessments and </w:t>
      </w:r>
      <w:r>
        <w:rPr>
          <w:rFonts w:ascii="Arial" w:hAnsi="Arial" w:cs="Arial"/>
          <w:sz w:val="24"/>
          <w:szCs w:val="24"/>
        </w:rPr>
        <w:t xml:space="preserve">from May 2016 has been </w:t>
      </w:r>
      <w:r w:rsidRPr="00261F21">
        <w:rPr>
          <w:rFonts w:ascii="Arial" w:hAnsi="Arial" w:cs="Arial"/>
          <w:sz w:val="24"/>
          <w:szCs w:val="24"/>
        </w:rPr>
        <w:t xml:space="preserve">set out in a </w:t>
      </w:r>
      <w:r>
        <w:rPr>
          <w:rFonts w:ascii="Arial" w:hAnsi="Arial" w:cs="Arial"/>
          <w:sz w:val="24"/>
          <w:szCs w:val="24"/>
        </w:rPr>
        <w:t>formal</w:t>
      </w:r>
      <w:r w:rsidRPr="00261F21">
        <w:rPr>
          <w:rFonts w:ascii="Arial" w:hAnsi="Arial" w:cs="Arial"/>
          <w:sz w:val="24"/>
          <w:szCs w:val="24"/>
        </w:rPr>
        <w:t xml:space="preserve"> Quality Assurance and Improvement Programme.</w:t>
      </w:r>
    </w:p>
    <w:p w:rsidR="00261F21" w:rsidRPr="00261F21" w:rsidRDefault="0013376F" w:rsidP="000474B7">
      <w:pPr>
        <w:numPr>
          <w:ilvl w:val="1"/>
          <w:numId w:val="2"/>
        </w:numPr>
        <w:tabs>
          <w:tab w:val="clear" w:pos="992"/>
          <w:tab w:val="num" w:pos="851"/>
        </w:tabs>
        <w:spacing w:before="120" w:after="120" w:line="240" w:lineRule="auto"/>
        <w:ind w:left="851" w:hanging="851"/>
        <w:rPr>
          <w:rFonts w:ascii="Arial" w:hAnsi="Arial" w:cs="Arial"/>
          <w:sz w:val="24"/>
          <w:szCs w:val="24"/>
        </w:rPr>
      </w:pPr>
      <w:r w:rsidRPr="00261F21">
        <w:rPr>
          <w:rFonts w:ascii="Arial" w:hAnsi="Arial" w:cs="Arial"/>
          <w:sz w:val="24"/>
          <w:szCs w:val="24"/>
        </w:rPr>
        <w:t xml:space="preserve">The results of the quality assurance and improvement programme including any areas of non-conformance with PSIAS </w:t>
      </w:r>
      <w:r>
        <w:rPr>
          <w:rFonts w:ascii="Arial" w:hAnsi="Arial" w:cs="Arial"/>
          <w:sz w:val="24"/>
          <w:szCs w:val="24"/>
        </w:rPr>
        <w:t>will be</w:t>
      </w:r>
      <w:r w:rsidRPr="00261F21">
        <w:rPr>
          <w:rFonts w:ascii="Arial" w:hAnsi="Arial" w:cs="Arial"/>
          <w:sz w:val="24"/>
          <w:szCs w:val="24"/>
        </w:rPr>
        <w:t xml:space="preserve"> reported annually to the </w:t>
      </w:r>
      <w:r>
        <w:rPr>
          <w:rFonts w:ascii="Arial" w:hAnsi="Arial" w:cs="Arial"/>
          <w:sz w:val="24"/>
          <w:szCs w:val="24"/>
        </w:rPr>
        <w:t xml:space="preserve">county council's </w:t>
      </w:r>
      <w:r w:rsidRPr="00261F21">
        <w:rPr>
          <w:rFonts w:ascii="Arial" w:hAnsi="Arial" w:cs="Arial"/>
          <w:sz w:val="24"/>
          <w:szCs w:val="24"/>
        </w:rPr>
        <w:t>Management Team and Audit and Accounts Committe</w:t>
      </w:r>
      <w:r w:rsidRPr="00261F21">
        <w:rPr>
          <w:rFonts w:ascii="Arial" w:hAnsi="Arial" w:cs="Arial"/>
          <w:sz w:val="24"/>
          <w:szCs w:val="24"/>
        </w:rPr>
        <w:t>e.</w:t>
      </w:r>
    </w:p>
    <w:p w:rsidR="00261F21" w:rsidRPr="00261F21" w:rsidRDefault="0013376F" w:rsidP="000474B7">
      <w:pPr>
        <w:numPr>
          <w:ilvl w:val="1"/>
          <w:numId w:val="2"/>
        </w:numPr>
        <w:tabs>
          <w:tab w:val="clear" w:pos="992"/>
          <w:tab w:val="num" w:pos="851"/>
        </w:tabs>
        <w:spacing w:before="120" w:after="120" w:line="240" w:lineRule="auto"/>
        <w:rPr>
          <w:rFonts w:ascii="Arial" w:hAnsi="Arial" w:cs="Arial"/>
          <w:sz w:val="24"/>
          <w:szCs w:val="24"/>
        </w:rPr>
      </w:pPr>
      <w:r w:rsidRPr="00261F21">
        <w:rPr>
          <w:rFonts w:ascii="Arial" w:hAnsi="Arial" w:cs="Arial"/>
          <w:sz w:val="24"/>
          <w:szCs w:val="24"/>
        </w:rPr>
        <w:t>There are no areas of non-conformance with PSIAS to report.</w:t>
      </w:r>
    </w:p>
    <w:p w:rsidR="00725E99" w:rsidRDefault="0013376F" w:rsidP="000474B7">
      <w:pPr>
        <w:pStyle w:val="BodyText"/>
        <w:numPr>
          <w:ilvl w:val="0"/>
          <w:numId w:val="1"/>
        </w:numPr>
        <w:spacing w:before="120" w:after="120" w:line="240" w:lineRule="auto"/>
        <w:rPr>
          <w:rFonts w:ascii="Arial" w:hAnsi="Arial" w:cs="Arial"/>
          <w:b/>
          <w:sz w:val="24"/>
          <w:szCs w:val="24"/>
        </w:rPr>
        <w:sectPr w:rsidR="00725E99" w:rsidSect="00C22B85">
          <w:footerReference w:type="default" r:id="rId14"/>
          <w:pgSz w:w="12240" w:h="15840"/>
          <w:pgMar w:top="1560" w:right="1608" w:bottom="1135" w:left="1560" w:header="709" w:footer="536" w:gutter="0"/>
          <w:pgNumType w:start="2"/>
          <w:cols w:space="708"/>
          <w:docGrid w:linePitch="360"/>
        </w:sectPr>
      </w:pPr>
    </w:p>
    <w:p w:rsidR="00D77E7B" w:rsidRPr="00725E99" w:rsidRDefault="0013376F" w:rsidP="000474B7">
      <w:pPr>
        <w:pStyle w:val="BodyText"/>
        <w:tabs>
          <w:tab w:val="right" w:pos="9072"/>
        </w:tabs>
        <w:spacing w:before="120" w:after="120" w:line="240" w:lineRule="auto"/>
        <w:rPr>
          <w:rFonts w:ascii="Arial" w:hAnsi="Arial" w:cs="Arial"/>
          <w:b/>
          <w:sz w:val="28"/>
          <w:szCs w:val="28"/>
        </w:rPr>
      </w:pPr>
      <w:r w:rsidRPr="00725E99">
        <w:rPr>
          <w:rFonts w:ascii="Arial" w:hAnsi="Arial" w:cs="Arial"/>
          <w:b/>
          <w:sz w:val="28"/>
          <w:szCs w:val="28"/>
        </w:rPr>
        <w:t>Scope, responsibilities and assurance</w:t>
      </w:r>
      <w:r w:rsidRPr="00725E99">
        <w:rPr>
          <w:rFonts w:ascii="Arial" w:hAnsi="Arial" w:cs="Arial"/>
          <w:b/>
          <w:sz w:val="28"/>
          <w:szCs w:val="28"/>
        </w:rPr>
        <w:tab/>
        <w:t>Annex A</w:t>
      </w:r>
    </w:p>
    <w:p w:rsidR="00D77E7B" w:rsidRPr="00725E99" w:rsidRDefault="0013376F" w:rsidP="000474B7">
      <w:pPr>
        <w:spacing w:before="120" w:after="120" w:line="240" w:lineRule="auto"/>
        <w:rPr>
          <w:rFonts w:ascii="Arial" w:hAnsi="Arial" w:cs="Arial"/>
          <w:b/>
          <w:sz w:val="24"/>
        </w:rPr>
      </w:pPr>
      <w:r w:rsidRPr="00725E99">
        <w:rPr>
          <w:rFonts w:ascii="Arial" w:hAnsi="Arial" w:cs="Arial"/>
          <w:b/>
          <w:sz w:val="24"/>
        </w:rPr>
        <w:t>Approach</w:t>
      </w:r>
    </w:p>
    <w:p w:rsidR="00D77E7B" w:rsidRPr="002114FB" w:rsidRDefault="0013376F"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 xml:space="preserve">In accordance with the </w:t>
      </w:r>
      <w:r>
        <w:rPr>
          <w:rFonts w:ascii="Arial" w:hAnsi="Arial"/>
          <w:sz w:val="24"/>
        </w:rPr>
        <w:t>Public Sector internal Audit Standards</w:t>
      </w:r>
      <w:r>
        <w:rPr>
          <w:rFonts w:ascii="Arial" w:hAnsi="Arial"/>
          <w:sz w:val="24"/>
        </w:rPr>
        <w:t xml:space="preserve"> (PSIAS)</w:t>
      </w:r>
      <w:r w:rsidRPr="002114FB">
        <w:rPr>
          <w:rFonts w:ascii="Arial" w:hAnsi="Arial"/>
          <w:sz w:val="24"/>
        </w:rPr>
        <w:t xml:space="preserve">, the scope of internal audit encompasses all of the </w:t>
      </w:r>
      <w:r>
        <w:rPr>
          <w:rFonts w:ascii="Arial" w:hAnsi="Arial"/>
          <w:sz w:val="24"/>
        </w:rPr>
        <w:t xml:space="preserve">Pension Fund's </w:t>
      </w:r>
      <w:r>
        <w:rPr>
          <w:rFonts w:ascii="Arial" w:hAnsi="Arial"/>
          <w:sz w:val="24"/>
        </w:rPr>
        <w:t>governance, risk management and control processes</w:t>
      </w:r>
      <w:r w:rsidRPr="002114FB">
        <w:rPr>
          <w:rFonts w:ascii="Arial" w:hAnsi="Arial"/>
          <w:sz w:val="24"/>
        </w:rPr>
        <w:t xml:space="preserve"> including where they are provided by other organisations on </w:t>
      </w:r>
      <w:r>
        <w:rPr>
          <w:rFonts w:ascii="Arial" w:hAnsi="Arial"/>
          <w:sz w:val="24"/>
        </w:rPr>
        <w:t>its</w:t>
      </w:r>
      <w:r w:rsidRPr="002114FB">
        <w:rPr>
          <w:rFonts w:ascii="Arial" w:hAnsi="Arial"/>
          <w:sz w:val="24"/>
        </w:rPr>
        <w:t xml:space="preserve"> behalf.</w:t>
      </w:r>
    </w:p>
    <w:p w:rsidR="00D77E7B" w:rsidRPr="00725E99" w:rsidRDefault="0013376F" w:rsidP="000474B7">
      <w:pPr>
        <w:spacing w:before="120" w:after="120" w:line="240" w:lineRule="auto"/>
        <w:rPr>
          <w:rFonts w:ascii="Arial" w:hAnsi="Arial" w:cs="Arial"/>
          <w:b/>
          <w:sz w:val="24"/>
        </w:rPr>
      </w:pPr>
      <w:r w:rsidRPr="00725E99">
        <w:rPr>
          <w:rFonts w:ascii="Arial" w:hAnsi="Arial" w:cs="Arial"/>
          <w:b/>
          <w:sz w:val="24"/>
        </w:rPr>
        <w:t>Responsibilities of management and internal auditors</w:t>
      </w:r>
    </w:p>
    <w:p w:rsidR="00261F21" w:rsidRDefault="0013376F"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 xml:space="preserve">It is </w:t>
      </w:r>
      <w:r w:rsidRPr="00261F21">
        <w:rPr>
          <w:rFonts w:ascii="Arial" w:hAnsi="Arial"/>
          <w:sz w:val="24"/>
        </w:rPr>
        <w:t>management’s responsibility to maintain systems of risk management, in</w:t>
      </w:r>
      <w:r w:rsidRPr="00261F21">
        <w:rPr>
          <w:rFonts w:ascii="Arial" w:hAnsi="Arial"/>
          <w:sz w:val="24"/>
        </w:rPr>
        <w:t xml:space="preserve">ternal control and governance. </w:t>
      </w:r>
      <w:r w:rsidRPr="00261F21">
        <w:rPr>
          <w:rFonts w:ascii="Arial" w:hAnsi="Arial"/>
          <w:sz w:val="24"/>
        </w:rPr>
        <w:t>Internal audit is an element of the internal control framework assisting management in the effective discharge of its responsibilities and functions by exa</w:t>
      </w:r>
      <w:r w:rsidRPr="00261F21">
        <w:rPr>
          <w:rFonts w:ascii="Arial" w:hAnsi="Arial"/>
          <w:sz w:val="24"/>
        </w:rPr>
        <w:t>m</w:t>
      </w:r>
      <w:r w:rsidRPr="00261F21">
        <w:rPr>
          <w:rFonts w:ascii="Arial" w:hAnsi="Arial"/>
          <w:sz w:val="24"/>
        </w:rPr>
        <w:t xml:space="preserve">ining and evaluating controls. </w:t>
      </w:r>
    </w:p>
    <w:p w:rsidR="00261F21" w:rsidRPr="00261F21" w:rsidRDefault="0013376F"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It is the role of the Internal Audit Service to provide independent assurance that these risk management, control and governance processes are adequately designed and effectively operated. The PSIAS makes clear that the pro</w:t>
      </w:r>
      <w:r w:rsidRPr="00261F21">
        <w:rPr>
          <w:rFonts w:ascii="Arial" w:hAnsi="Arial"/>
          <w:sz w:val="24"/>
        </w:rPr>
        <w:t>vision of this assurance is internal audit's primary role and that this requires the head of internal audit to provide an annual opinion based on an objective assessment of the framework of governance, risk management and control.</w:t>
      </w:r>
    </w:p>
    <w:p w:rsidR="00261F21" w:rsidRPr="00261F21" w:rsidRDefault="0013376F" w:rsidP="000474B7">
      <w:pPr>
        <w:pStyle w:val="BodyText"/>
        <w:numPr>
          <w:ilvl w:val="0"/>
          <w:numId w:val="5"/>
        </w:numPr>
        <w:spacing w:before="120" w:after="120" w:line="240" w:lineRule="auto"/>
        <w:ind w:left="993" w:hanging="993"/>
        <w:rPr>
          <w:rFonts w:ascii="Arial" w:hAnsi="Arial"/>
          <w:sz w:val="24"/>
        </w:rPr>
      </w:pPr>
      <w:r w:rsidRPr="00261F21">
        <w:rPr>
          <w:rFonts w:ascii="Arial" w:hAnsi="Arial"/>
          <w:sz w:val="24"/>
        </w:rPr>
        <w:t>This assessment will be s</w:t>
      </w:r>
      <w:r w:rsidRPr="00261F21">
        <w:rPr>
          <w:rFonts w:ascii="Arial" w:hAnsi="Arial"/>
          <w:sz w:val="24"/>
        </w:rPr>
        <w:t>upported by the identification, analysis, evaluation and documentation of sufficient information on each individual audit assignment, and the completion of sufficient assignments to support an overall opinion for the organisation as a whole.</w:t>
      </w:r>
    </w:p>
    <w:p w:rsidR="00D77E7B" w:rsidRDefault="0013376F" w:rsidP="000474B7">
      <w:pPr>
        <w:pStyle w:val="BodyText"/>
        <w:numPr>
          <w:ilvl w:val="0"/>
          <w:numId w:val="5"/>
        </w:numPr>
        <w:spacing w:before="120" w:after="120" w:line="240" w:lineRule="auto"/>
        <w:ind w:left="993" w:hanging="993"/>
        <w:rPr>
          <w:rFonts w:ascii="Arial" w:hAnsi="Arial"/>
          <w:sz w:val="24"/>
        </w:rPr>
      </w:pPr>
      <w:r>
        <w:rPr>
          <w:rFonts w:ascii="Arial" w:hAnsi="Arial"/>
          <w:sz w:val="24"/>
        </w:rPr>
        <w:t>Internal audit</w:t>
      </w:r>
      <w:r>
        <w:rPr>
          <w:rFonts w:ascii="Arial" w:hAnsi="Arial"/>
          <w:sz w:val="24"/>
        </w:rPr>
        <w:t>ors cannot be held responsible for internal control failures, h</w:t>
      </w:r>
      <w:r w:rsidRPr="00261F21">
        <w:rPr>
          <w:rFonts w:ascii="Arial" w:hAnsi="Arial"/>
          <w:sz w:val="24"/>
        </w:rPr>
        <w:t>owever, we have planned our work so that we have a reasonable expectation of detecting significant control weaknesses. We have reported all such weaknesses to you as they have become known to u</w:t>
      </w:r>
      <w:r w:rsidRPr="00261F21">
        <w:rPr>
          <w:rFonts w:ascii="Arial" w:hAnsi="Arial"/>
          <w:sz w:val="24"/>
        </w:rPr>
        <w:t>s, without undue delay, and have worked with you to develop proposals for remedial action.</w:t>
      </w:r>
    </w:p>
    <w:p w:rsidR="00261F21" w:rsidRPr="0016753A" w:rsidRDefault="0013376F"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 xml:space="preserve">The requirement to be independent and objective means that the Internal Audit Service cannot assume management responsibility for risk management, control or </w:t>
      </w:r>
      <w:r w:rsidRPr="0016753A">
        <w:rPr>
          <w:rFonts w:ascii="Arial" w:hAnsi="Arial"/>
          <w:sz w:val="24"/>
        </w:rPr>
        <w:t>governance processes. However the Internal Audit Service may support management by providing consultancy services. These are advisory in nature and are generally performed at the specific request of the organisation, with the aim of improving governance, r</w:t>
      </w:r>
      <w:r w:rsidRPr="0016753A">
        <w:rPr>
          <w:rFonts w:ascii="Arial" w:hAnsi="Arial"/>
          <w:sz w:val="24"/>
        </w:rPr>
        <w:t>isk management and control and will also contribute to the overall assurance opinion.</w:t>
      </w:r>
    </w:p>
    <w:p w:rsidR="00261F21" w:rsidRPr="0016753A" w:rsidRDefault="0013376F"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Accountability for responses to the Internal Audit Service’s advice and recommendations for action lies with the Senior Management Team, which either accepts and implemen</w:t>
      </w:r>
      <w:r w:rsidRPr="0016753A">
        <w:rPr>
          <w:rFonts w:ascii="Arial" w:hAnsi="Arial"/>
          <w:sz w:val="24"/>
        </w:rPr>
        <w:t>ts the advice or accepts the risks associated with not taking action. Audit advice, including where the Internal Audit Service has been consulted about significant changes to internal control systems, is given without prejudice to the right of the Internal</w:t>
      </w:r>
      <w:r w:rsidRPr="0016753A">
        <w:rPr>
          <w:rFonts w:ascii="Arial" w:hAnsi="Arial"/>
          <w:sz w:val="24"/>
        </w:rPr>
        <w:t xml:space="preserve"> Audit Service to review and recommend further action on the relevant policies, procedures, controls and operations at a later date.</w:t>
      </w:r>
    </w:p>
    <w:p w:rsidR="0016753A" w:rsidRPr="0016753A" w:rsidRDefault="0013376F"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The head of internal audit will provide an annual report incorporating an overall opinion, a summary of the work that suppo</w:t>
      </w:r>
      <w:r w:rsidRPr="0016753A">
        <w:rPr>
          <w:rFonts w:ascii="Arial" w:hAnsi="Arial"/>
          <w:sz w:val="24"/>
        </w:rPr>
        <w:t>rts that opinion, and a statement of conformity with the PSIAS and the results of the quality assurance and improvement programme.</w:t>
      </w:r>
    </w:p>
    <w:p w:rsidR="0016753A" w:rsidRPr="0016753A" w:rsidRDefault="0013376F" w:rsidP="000474B7">
      <w:pPr>
        <w:pStyle w:val="BodyText"/>
        <w:numPr>
          <w:ilvl w:val="0"/>
          <w:numId w:val="5"/>
        </w:numPr>
        <w:spacing w:before="120" w:after="120" w:line="240" w:lineRule="auto"/>
        <w:ind w:left="993" w:hanging="993"/>
        <w:rPr>
          <w:rFonts w:ascii="Arial" w:hAnsi="Arial"/>
          <w:sz w:val="24"/>
        </w:rPr>
      </w:pPr>
      <w:r w:rsidRPr="0016753A">
        <w:rPr>
          <w:rFonts w:ascii="Arial" w:hAnsi="Arial"/>
          <w:sz w:val="24"/>
        </w:rPr>
        <w:t>The Internal Audit Service is not responsible for the prevention or detection of fraud and corruption. Managing the risk of f</w:t>
      </w:r>
      <w:r w:rsidRPr="0016753A">
        <w:rPr>
          <w:rFonts w:ascii="Arial" w:hAnsi="Arial"/>
          <w:sz w:val="24"/>
        </w:rPr>
        <w:t>raud and corruption is the responsibility of management. Internal auditors will, however, be alert in all their work to risks and exposures that could allow fraud or corruption and to any indications that fraud and corruption may have occurred. Internal au</w:t>
      </w:r>
      <w:r w:rsidRPr="0016753A">
        <w:rPr>
          <w:rFonts w:ascii="Arial" w:hAnsi="Arial"/>
          <w:sz w:val="24"/>
        </w:rPr>
        <w:t>dit procedures alone, even when performed with due professional care, cannot guarantee that fraud or corruption will be detected.</w:t>
      </w:r>
    </w:p>
    <w:p w:rsidR="00D77E7B" w:rsidRPr="00725E99" w:rsidRDefault="0013376F" w:rsidP="000474B7">
      <w:pPr>
        <w:spacing w:before="120" w:after="120" w:line="240" w:lineRule="auto"/>
        <w:rPr>
          <w:rFonts w:ascii="Arial" w:hAnsi="Arial" w:cs="Arial"/>
          <w:b/>
          <w:sz w:val="24"/>
        </w:rPr>
      </w:pPr>
      <w:r w:rsidRPr="00725E99">
        <w:rPr>
          <w:rFonts w:ascii="Arial" w:hAnsi="Arial" w:cs="Arial"/>
          <w:b/>
          <w:sz w:val="24"/>
        </w:rPr>
        <w:t>Basis of our assessment</w:t>
      </w:r>
    </w:p>
    <w:p w:rsidR="00D77E7B" w:rsidRPr="00725E99" w:rsidRDefault="0013376F"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Our opinion on the adequacy of control arrangements is based upon the result of internal audit reviews</w:t>
      </w:r>
      <w:r w:rsidRPr="002114FB">
        <w:rPr>
          <w:rFonts w:ascii="Arial" w:hAnsi="Arial"/>
          <w:sz w:val="24"/>
        </w:rPr>
        <w:t xml:space="preserve"> undertaken during the period in accordance with the plan</w:t>
      </w:r>
      <w:r>
        <w:rPr>
          <w:rFonts w:ascii="Arial" w:hAnsi="Arial"/>
          <w:sz w:val="24"/>
        </w:rPr>
        <w:t xml:space="preserve"> approved by </w:t>
      </w:r>
      <w:r>
        <w:rPr>
          <w:rFonts w:ascii="Arial" w:hAnsi="Arial"/>
          <w:sz w:val="24"/>
        </w:rPr>
        <w:t>the Pension Fund Committee</w:t>
      </w:r>
      <w:r>
        <w:rPr>
          <w:rFonts w:ascii="Arial" w:hAnsi="Arial"/>
          <w:sz w:val="24"/>
        </w:rPr>
        <w:t xml:space="preserve">. </w:t>
      </w:r>
      <w:r w:rsidRPr="002114FB">
        <w:rPr>
          <w:rFonts w:ascii="Arial" w:hAnsi="Arial"/>
          <w:sz w:val="24"/>
        </w:rPr>
        <w:t xml:space="preserve">We have obtained sufficient, reliable and relevant evidence to support the </w:t>
      </w:r>
      <w:r>
        <w:rPr>
          <w:rFonts w:ascii="Arial" w:hAnsi="Arial"/>
          <w:sz w:val="24"/>
        </w:rPr>
        <w:t xml:space="preserve">improvements </w:t>
      </w:r>
      <w:r w:rsidRPr="002114FB">
        <w:rPr>
          <w:rFonts w:ascii="Arial" w:hAnsi="Arial"/>
          <w:sz w:val="24"/>
        </w:rPr>
        <w:t xml:space="preserve">that we </w:t>
      </w:r>
      <w:r>
        <w:rPr>
          <w:rFonts w:ascii="Arial" w:hAnsi="Arial"/>
          <w:sz w:val="24"/>
        </w:rPr>
        <w:t>proposed and that have been accepted by management</w:t>
      </w:r>
      <w:r w:rsidRPr="002114FB">
        <w:rPr>
          <w:rFonts w:ascii="Arial" w:hAnsi="Arial"/>
          <w:sz w:val="24"/>
        </w:rPr>
        <w:t>.</w:t>
      </w:r>
    </w:p>
    <w:p w:rsidR="00D77E7B" w:rsidRPr="00725E99" w:rsidRDefault="0013376F" w:rsidP="000474B7">
      <w:pPr>
        <w:spacing w:before="120" w:after="120" w:line="240" w:lineRule="auto"/>
        <w:rPr>
          <w:rFonts w:ascii="Arial" w:hAnsi="Arial" w:cs="Arial"/>
          <w:b/>
          <w:sz w:val="24"/>
        </w:rPr>
      </w:pPr>
      <w:r w:rsidRPr="00725E99">
        <w:rPr>
          <w:rFonts w:ascii="Arial" w:hAnsi="Arial" w:cs="Arial"/>
          <w:b/>
          <w:sz w:val="24"/>
        </w:rPr>
        <w:t>Limitation</w:t>
      </w:r>
      <w:r w:rsidRPr="00725E99">
        <w:rPr>
          <w:rFonts w:ascii="Arial" w:hAnsi="Arial" w:cs="Arial"/>
          <w:b/>
          <w:sz w:val="24"/>
        </w:rPr>
        <w:t>s to the scope of our work</w:t>
      </w:r>
    </w:p>
    <w:p w:rsidR="00D77E7B" w:rsidRPr="002114FB" w:rsidRDefault="0013376F" w:rsidP="000474B7">
      <w:pPr>
        <w:pStyle w:val="BodyText"/>
        <w:numPr>
          <w:ilvl w:val="0"/>
          <w:numId w:val="5"/>
        </w:numPr>
        <w:spacing w:before="120" w:after="120" w:line="240" w:lineRule="auto"/>
        <w:ind w:left="993" w:hanging="993"/>
        <w:rPr>
          <w:rFonts w:ascii="Arial" w:hAnsi="Arial"/>
          <w:sz w:val="24"/>
        </w:rPr>
      </w:pPr>
      <w:r>
        <w:rPr>
          <w:rFonts w:ascii="Arial" w:hAnsi="Arial"/>
          <w:sz w:val="24"/>
        </w:rPr>
        <w:t>There have been n</w:t>
      </w:r>
      <w:r w:rsidRPr="002114FB">
        <w:rPr>
          <w:rFonts w:ascii="Arial" w:hAnsi="Arial"/>
          <w:sz w:val="24"/>
        </w:rPr>
        <w:t xml:space="preserve">o limitations </w:t>
      </w:r>
      <w:r>
        <w:rPr>
          <w:rFonts w:ascii="Arial" w:hAnsi="Arial"/>
          <w:sz w:val="24"/>
        </w:rPr>
        <w:t xml:space="preserve">to </w:t>
      </w:r>
      <w:r w:rsidRPr="002114FB">
        <w:rPr>
          <w:rFonts w:ascii="Arial" w:hAnsi="Arial"/>
          <w:sz w:val="24"/>
        </w:rPr>
        <w:t xml:space="preserve">the scope </w:t>
      </w:r>
      <w:r>
        <w:rPr>
          <w:rFonts w:ascii="Arial" w:hAnsi="Arial"/>
          <w:sz w:val="24"/>
        </w:rPr>
        <w:t xml:space="preserve">of our audit </w:t>
      </w:r>
      <w:r w:rsidRPr="002114FB">
        <w:rPr>
          <w:rFonts w:ascii="Arial" w:hAnsi="Arial"/>
          <w:sz w:val="24"/>
        </w:rPr>
        <w:t>work</w:t>
      </w:r>
      <w:r>
        <w:rPr>
          <w:rFonts w:ascii="Arial" w:hAnsi="Arial"/>
          <w:sz w:val="24"/>
        </w:rPr>
        <w:t>.</w:t>
      </w:r>
    </w:p>
    <w:p w:rsidR="00D77E7B" w:rsidRPr="00F57F94" w:rsidRDefault="0013376F" w:rsidP="000474B7">
      <w:pPr>
        <w:spacing w:before="120" w:after="120" w:line="240" w:lineRule="auto"/>
        <w:rPr>
          <w:rFonts w:ascii="Arial" w:hAnsi="Arial" w:cs="Arial"/>
          <w:b/>
          <w:sz w:val="24"/>
        </w:rPr>
      </w:pPr>
      <w:r w:rsidRPr="00F57F94">
        <w:rPr>
          <w:rFonts w:ascii="Arial" w:hAnsi="Arial" w:cs="Arial"/>
          <w:b/>
          <w:sz w:val="24"/>
        </w:rPr>
        <w:t>Limitations on the assurance that internal audit can provide</w:t>
      </w:r>
    </w:p>
    <w:p w:rsidR="00D77E7B" w:rsidRDefault="0013376F"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 xml:space="preserve">There are inherent limitations as to what can be achieved by internal control and consequently </w:t>
      </w:r>
      <w:r w:rsidRPr="002114FB">
        <w:rPr>
          <w:rFonts w:ascii="Arial" w:hAnsi="Arial"/>
          <w:sz w:val="24"/>
        </w:rPr>
        <w:t>limitations to the conclusions that can be drawn from our work as internal auditors. These limitations include the possibility of faulty judgement in decision making, of breakdowns because of human error, of control activities being circumvented by the col</w:t>
      </w:r>
      <w:r w:rsidRPr="002114FB">
        <w:rPr>
          <w:rFonts w:ascii="Arial" w:hAnsi="Arial"/>
          <w:sz w:val="24"/>
        </w:rPr>
        <w:t>lusion of two or more people and of m</w:t>
      </w:r>
      <w:r>
        <w:rPr>
          <w:rFonts w:ascii="Arial" w:hAnsi="Arial"/>
          <w:sz w:val="24"/>
        </w:rPr>
        <w:t>anagement overriding controls. A</w:t>
      </w:r>
      <w:r w:rsidRPr="002114FB">
        <w:rPr>
          <w:rFonts w:ascii="Arial" w:hAnsi="Arial"/>
          <w:sz w:val="24"/>
        </w:rPr>
        <w:t>lso there is no certainty that internal controls will continue to operate effectively in future periods or that the controls will be adequate to mitigate all significant risks which may a</w:t>
      </w:r>
      <w:r w:rsidRPr="002114FB">
        <w:rPr>
          <w:rFonts w:ascii="Arial" w:hAnsi="Arial"/>
          <w:sz w:val="24"/>
        </w:rPr>
        <w:t>rise in future.</w:t>
      </w:r>
    </w:p>
    <w:p w:rsidR="00D77E7B" w:rsidRDefault="0013376F" w:rsidP="000474B7">
      <w:pPr>
        <w:pStyle w:val="BodyText"/>
        <w:numPr>
          <w:ilvl w:val="0"/>
          <w:numId w:val="5"/>
        </w:numPr>
        <w:spacing w:before="120" w:after="120" w:line="240" w:lineRule="auto"/>
        <w:ind w:left="993" w:hanging="993"/>
        <w:rPr>
          <w:rFonts w:ascii="Arial" w:hAnsi="Arial"/>
          <w:sz w:val="24"/>
        </w:rPr>
      </w:pPr>
      <w:r w:rsidRPr="002114FB">
        <w:rPr>
          <w:rFonts w:ascii="Arial" w:hAnsi="Arial"/>
          <w:sz w:val="24"/>
        </w:rPr>
        <w:t>Decisions made in designing internal controls inevitably involve the acceptance of some degree of risk. As the outcome of the operation of internal controls cannot be predicted with absolute assurance any assessment of internal control is j</w:t>
      </w:r>
      <w:r w:rsidRPr="002114FB">
        <w:rPr>
          <w:rFonts w:ascii="Arial" w:hAnsi="Arial"/>
          <w:sz w:val="24"/>
        </w:rPr>
        <w:t>udgmental.</w:t>
      </w:r>
    </w:p>
    <w:p w:rsidR="00415650" w:rsidRPr="00415650" w:rsidRDefault="0013376F" w:rsidP="000474B7">
      <w:pPr>
        <w:spacing w:before="120" w:after="120" w:line="240" w:lineRule="auto"/>
        <w:rPr>
          <w:rFonts w:ascii="Arial" w:hAnsi="Arial" w:cs="Arial"/>
          <w:b/>
          <w:sz w:val="24"/>
        </w:rPr>
      </w:pPr>
      <w:r w:rsidRPr="00415650">
        <w:rPr>
          <w:rFonts w:ascii="Arial" w:hAnsi="Arial" w:cs="Arial"/>
          <w:b/>
          <w:sz w:val="24"/>
        </w:rPr>
        <w:t>Access to this report and responsibility to third parties</w:t>
      </w:r>
    </w:p>
    <w:p w:rsidR="00415650" w:rsidRPr="00415650" w:rsidRDefault="0013376F" w:rsidP="000474B7">
      <w:pPr>
        <w:pStyle w:val="BodyText"/>
        <w:numPr>
          <w:ilvl w:val="0"/>
          <w:numId w:val="5"/>
        </w:numPr>
        <w:spacing w:before="120" w:after="120" w:line="240" w:lineRule="auto"/>
        <w:ind w:left="993" w:hanging="993"/>
        <w:rPr>
          <w:rFonts w:ascii="Arial" w:hAnsi="Arial"/>
          <w:sz w:val="24"/>
        </w:rPr>
      </w:pPr>
      <w:r w:rsidRPr="00415650">
        <w:rPr>
          <w:rFonts w:ascii="Arial" w:hAnsi="Arial"/>
          <w:sz w:val="24"/>
        </w:rPr>
        <w:t xml:space="preserve">This report has been prepared solely for Lancashire </w:t>
      </w:r>
      <w:r>
        <w:rPr>
          <w:rFonts w:ascii="Arial" w:hAnsi="Arial"/>
          <w:sz w:val="24"/>
        </w:rPr>
        <w:t>Pension Fund</w:t>
      </w:r>
      <w:r w:rsidRPr="00415650">
        <w:rPr>
          <w:rFonts w:ascii="Arial" w:hAnsi="Arial"/>
          <w:sz w:val="24"/>
        </w:rPr>
        <w:t>. It forms part of a continuing dialogue between the Internal Audit Service,</w:t>
      </w:r>
      <w:r>
        <w:rPr>
          <w:rFonts w:ascii="Arial" w:hAnsi="Arial"/>
          <w:sz w:val="24"/>
        </w:rPr>
        <w:t xml:space="preserve"> the senior management of the Fund, and the Pen</w:t>
      </w:r>
      <w:r>
        <w:rPr>
          <w:rFonts w:ascii="Arial" w:hAnsi="Arial"/>
          <w:sz w:val="24"/>
        </w:rPr>
        <w:t>sion Fund Committee</w:t>
      </w:r>
      <w:r w:rsidRPr="00415650">
        <w:rPr>
          <w:rFonts w:ascii="Arial" w:hAnsi="Arial"/>
          <w:sz w:val="24"/>
        </w:rPr>
        <w:t>. It is not therefore intended to include every matter that came to our attention during each internal audit review.</w:t>
      </w:r>
    </w:p>
    <w:p w:rsidR="00415650" w:rsidRPr="00415650" w:rsidRDefault="0013376F" w:rsidP="000474B7">
      <w:pPr>
        <w:pStyle w:val="BodyText"/>
        <w:numPr>
          <w:ilvl w:val="0"/>
          <w:numId w:val="5"/>
        </w:numPr>
        <w:spacing w:before="120" w:after="120" w:line="240" w:lineRule="auto"/>
        <w:ind w:left="993" w:hanging="993"/>
        <w:rPr>
          <w:rFonts w:ascii="Arial" w:hAnsi="Arial"/>
          <w:sz w:val="24"/>
        </w:rPr>
      </w:pPr>
      <w:r w:rsidRPr="00415650">
        <w:rPr>
          <w:rFonts w:ascii="Arial" w:hAnsi="Arial"/>
          <w:sz w:val="24"/>
        </w:rPr>
        <w:t xml:space="preserve">This report may be made available to other parties, such as the external auditors. No responsibility is accepted to any </w:t>
      </w:r>
      <w:r w:rsidRPr="00415650">
        <w:rPr>
          <w:rFonts w:ascii="Arial" w:hAnsi="Arial"/>
          <w:sz w:val="24"/>
        </w:rPr>
        <w:t>third party who may receive this report for any reliance that may be placed on it and, in particular, the external auditors must determine the reliance placed on the work of the Internal Audit Service.</w:t>
      </w:r>
    </w:p>
    <w:p w:rsidR="00415650" w:rsidRDefault="0013376F" w:rsidP="000474B7">
      <w:pPr>
        <w:pStyle w:val="BodyText"/>
        <w:spacing w:before="120" w:after="120" w:line="240" w:lineRule="auto"/>
        <w:rPr>
          <w:rFonts w:ascii="Arial" w:hAnsi="Arial"/>
          <w:sz w:val="24"/>
        </w:rPr>
      </w:pPr>
    </w:p>
    <w:p w:rsidR="00F57F94" w:rsidRDefault="0013376F" w:rsidP="000474B7">
      <w:pPr>
        <w:pStyle w:val="BodyText"/>
        <w:tabs>
          <w:tab w:val="right" w:pos="9072"/>
        </w:tabs>
        <w:spacing w:before="120" w:after="120" w:line="240" w:lineRule="auto"/>
        <w:rPr>
          <w:rFonts w:ascii="Arial" w:hAnsi="Arial" w:cs="Arial"/>
          <w:b/>
          <w:sz w:val="28"/>
          <w:szCs w:val="28"/>
        </w:rPr>
        <w:sectPr w:rsidR="00F57F94" w:rsidSect="001E129A">
          <w:pgSz w:w="12240" w:h="15840"/>
          <w:pgMar w:top="1560" w:right="1608" w:bottom="1135" w:left="1560" w:header="709" w:footer="536" w:gutter="0"/>
          <w:cols w:space="708"/>
          <w:docGrid w:linePitch="360"/>
        </w:sectPr>
      </w:pPr>
    </w:p>
    <w:p w:rsidR="0058666B" w:rsidRPr="00F57F94" w:rsidRDefault="0013376F" w:rsidP="00154716">
      <w:pPr>
        <w:pStyle w:val="BodyText"/>
        <w:tabs>
          <w:tab w:val="right" w:pos="9072"/>
        </w:tabs>
        <w:rPr>
          <w:rFonts w:ascii="Arial" w:hAnsi="Arial" w:cs="Arial"/>
          <w:b/>
          <w:sz w:val="28"/>
          <w:szCs w:val="28"/>
        </w:rPr>
      </w:pPr>
      <w:r w:rsidRPr="00F57F94">
        <w:rPr>
          <w:rFonts w:ascii="Arial" w:hAnsi="Arial" w:cs="Arial"/>
          <w:b/>
          <w:sz w:val="28"/>
          <w:szCs w:val="28"/>
        </w:rPr>
        <w:t>Audit assurance levels</w:t>
      </w:r>
      <w:r>
        <w:rPr>
          <w:rFonts w:ascii="Arial" w:hAnsi="Arial" w:cs="Arial"/>
          <w:b/>
          <w:sz w:val="28"/>
          <w:szCs w:val="28"/>
        </w:rPr>
        <w:tab/>
        <w:t>Annex B</w:t>
      </w:r>
    </w:p>
    <w:p w:rsidR="0058666B" w:rsidRPr="003F1782" w:rsidRDefault="0013376F" w:rsidP="00154716">
      <w:pPr>
        <w:pStyle w:val="BodyText"/>
        <w:spacing w:before="240" w:after="240" w:line="240" w:lineRule="auto"/>
        <w:rPr>
          <w:rFonts w:ascii="Arial" w:hAnsi="Arial" w:cs="Arial"/>
          <w:sz w:val="24"/>
          <w:szCs w:val="24"/>
          <w:lang w:eastAsia="en-GB"/>
        </w:rPr>
      </w:pPr>
      <w:r w:rsidRPr="003F1782">
        <w:rPr>
          <w:rFonts w:ascii="Arial" w:hAnsi="Arial" w:cs="Arial"/>
          <w:sz w:val="24"/>
          <w:szCs w:val="24"/>
          <w:lang w:eastAsia="en-GB"/>
        </w:rPr>
        <w:t>The assurance we can provide over any area of control falls into one of four</w:t>
      </w:r>
      <w:r>
        <w:rPr>
          <w:rFonts w:ascii="Arial" w:hAnsi="Arial" w:cs="Arial"/>
          <w:sz w:val="24"/>
          <w:szCs w:val="24"/>
          <w:lang w:eastAsia="en-GB"/>
        </w:rPr>
        <w:t xml:space="preserve"> </w:t>
      </w:r>
      <w:r w:rsidRPr="003F1782">
        <w:rPr>
          <w:rFonts w:ascii="Arial" w:hAnsi="Arial" w:cs="Arial"/>
          <w:sz w:val="24"/>
          <w:szCs w:val="24"/>
          <w:lang w:eastAsia="en-GB"/>
        </w:rPr>
        <w:t>categories as follows:</w:t>
      </w:r>
    </w:p>
    <w:p w:rsidR="0058666B" w:rsidRDefault="0013376F"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Full assurance</w:t>
      </w:r>
      <w:r>
        <w:rPr>
          <w:rFonts w:ascii="Arial" w:hAnsi="Arial" w:cs="Arial"/>
          <w:sz w:val="24"/>
          <w:szCs w:val="24"/>
          <w:lang w:eastAsia="en-GB"/>
        </w:rPr>
        <w:t xml:space="preserve">: there is a sound system of internal control which is adequately designed to meet the service objectives and is effective in that controls </w:t>
      </w:r>
      <w:r>
        <w:rPr>
          <w:rFonts w:ascii="Arial" w:hAnsi="Arial" w:cs="Arial"/>
          <w:sz w:val="24"/>
          <w:szCs w:val="24"/>
          <w:lang w:eastAsia="en-GB"/>
        </w:rPr>
        <w:t>are being consistently applied.</w:t>
      </w:r>
    </w:p>
    <w:p w:rsidR="0058666B" w:rsidRDefault="0013376F"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Substantial assurance</w:t>
      </w:r>
      <w:r>
        <w:rPr>
          <w:rFonts w:ascii="Arial" w:hAnsi="Arial" w:cs="Arial"/>
          <w:sz w:val="24"/>
          <w:szCs w:val="24"/>
          <w:lang w:eastAsia="en-GB"/>
        </w:rPr>
        <w:t>: there is a generally sound system of internal control, adequately designed to meet the service objectives, and controls are generally being applied consistently. However some weakness in the design and</w:t>
      </w:r>
      <w:r>
        <w:rPr>
          <w:rFonts w:ascii="Arial" w:hAnsi="Arial" w:cs="Arial"/>
          <w:sz w:val="24"/>
          <w:szCs w:val="24"/>
          <w:lang w:eastAsia="en-GB"/>
        </w:rPr>
        <w:t>/ or inconsistent application of controls put the achievement of particular objectives at risk.</w:t>
      </w:r>
    </w:p>
    <w:p w:rsidR="0058666B" w:rsidRDefault="0013376F" w:rsidP="00154716">
      <w:pPr>
        <w:autoSpaceDE w:val="0"/>
        <w:autoSpaceDN w:val="0"/>
        <w:adjustRightInd w:val="0"/>
        <w:spacing w:before="240" w:after="240" w:line="240" w:lineRule="auto"/>
        <w:rPr>
          <w:rFonts w:ascii="Arial" w:hAnsi="Arial" w:cs="Arial"/>
          <w:sz w:val="24"/>
          <w:szCs w:val="24"/>
          <w:lang w:eastAsia="en-GB"/>
        </w:rPr>
      </w:pPr>
      <w:r>
        <w:rPr>
          <w:rFonts w:ascii="Arial" w:hAnsi="Arial" w:cs="Arial"/>
          <w:b/>
          <w:bCs/>
          <w:sz w:val="24"/>
          <w:szCs w:val="24"/>
          <w:lang w:eastAsia="en-GB"/>
        </w:rPr>
        <w:t>Limited assurance</w:t>
      </w:r>
      <w:r>
        <w:rPr>
          <w:rFonts w:ascii="Arial" w:hAnsi="Arial" w:cs="Arial"/>
          <w:sz w:val="24"/>
          <w:szCs w:val="24"/>
          <w:lang w:eastAsia="en-GB"/>
        </w:rPr>
        <w:t>: weaknesses in the design and/ or inconsistent application of controls put the achievement of the service's objectives at risk.</w:t>
      </w:r>
    </w:p>
    <w:p w:rsidR="00D77E7B" w:rsidRDefault="0013376F" w:rsidP="00154716">
      <w:pPr>
        <w:autoSpaceDE w:val="0"/>
        <w:autoSpaceDN w:val="0"/>
        <w:adjustRightInd w:val="0"/>
        <w:spacing w:before="240" w:after="240" w:line="240" w:lineRule="auto"/>
        <w:rPr>
          <w:rFonts w:ascii="Arial" w:hAnsi="Arial" w:cs="Arial"/>
          <w:sz w:val="24"/>
          <w:szCs w:val="24"/>
          <w:lang w:eastAsia="en-GB"/>
        </w:rPr>
      </w:pPr>
      <w:r w:rsidRPr="00AF0705">
        <w:rPr>
          <w:rFonts w:ascii="Arial" w:hAnsi="Arial" w:cs="Arial"/>
          <w:b/>
          <w:bCs/>
          <w:sz w:val="24"/>
          <w:szCs w:val="24"/>
          <w:lang w:eastAsia="en-GB"/>
        </w:rPr>
        <w:t>No assurance</w:t>
      </w:r>
      <w:r w:rsidRPr="00AF0705">
        <w:rPr>
          <w:rFonts w:ascii="Arial" w:hAnsi="Arial" w:cs="Arial"/>
          <w:sz w:val="24"/>
          <w:szCs w:val="24"/>
          <w:lang w:eastAsia="en-GB"/>
        </w:rPr>
        <w:t xml:space="preserve">: </w:t>
      </w:r>
      <w:r w:rsidRPr="00AF0705">
        <w:rPr>
          <w:rFonts w:ascii="Arial" w:hAnsi="Arial" w:cs="Arial"/>
          <w:sz w:val="24"/>
          <w:szCs w:val="24"/>
          <w:lang w:eastAsia="en-GB"/>
        </w:rPr>
        <w:t xml:space="preserve">weaknesses in control and/ or consistent non-compliance with controls could result/ has resulted in failure to achieve the </w:t>
      </w:r>
      <w:r>
        <w:rPr>
          <w:rFonts w:ascii="Arial" w:hAnsi="Arial" w:cs="Arial"/>
          <w:sz w:val="24"/>
          <w:szCs w:val="24"/>
          <w:lang w:eastAsia="en-GB"/>
        </w:rPr>
        <w:t>service</w:t>
      </w:r>
      <w:r w:rsidRPr="00AF0705">
        <w:rPr>
          <w:rFonts w:ascii="Arial" w:hAnsi="Arial" w:cs="Arial"/>
          <w:sz w:val="24"/>
          <w:szCs w:val="24"/>
          <w:lang w:eastAsia="en-GB"/>
        </w:rPr>
        <w:t xml:space="preserve"> objectives.</w:t>
      </w:r>
    </w:p>
    <w:p w:rsidR="0016753A" w:rsidRDefault="0013376F" w:rsidP="00154716">
      <w:pPr>
        <w:autoSpaceDE w:val="0"/>
        <w:autoSpaceDN w:val="0"/>
        <w:adjustRightInd w:val="0"/>
        <w:spacing w:before="240" w:after="240" w:line="240" w:lineRule="auto"/>
        <w:rPr>
          <w:rFonts w:ascii="Arial" w:hAnsi="Arial" w:cs="Arial"/>
          <w:sz w:val="24"/>
          <w:szCs w:val="24"/>
          <w:lang w:eastAsia="en-GB"/>
        </w:rPr>
      </w:pPr>
    </w:p>
    <w:p w:rsidR="0016753A" w:rsidRPr="0016753A" w:rsidRDefault="0013376F" w:rsidP="00154716">
      <w:pPr>
        <w:autoSpaceDE w:val="0"/>
        <w:autoSpaceDN w:val="0"/>
        <w:adjustRightInd w:val="0"/>
        <w:spacing w:before="240" w:after="240" w:line="240" w:lineRule="auto"/>
        <w:rPr>
          <w:rFonts w:ascii="Arial" w:hAnsi="Arial" w:cs="Arial"/>
          <w:b/>
          <w:sz w:val="28"/>
          <w:szCs w:val="28"/>
        </w:rPr>
      </w:pPr>
      <w:r>
        <w:rPr>
          <w:rFonts w:ascii="Arial" w:hAnsi="Arial" w:cs="Arial"/>
          <w:b/>
          <w:sz w:val="28"/>
          <w:szCs w:val="28"/>
        </w:rPr>
        <w:t>Classification of agreed actions</w:t>
      </w:r>
    </w:p>
    <w:p w:rsidR="0016753A" w:rsidRPr="0016753A" w:rsidRDefault="0013376F"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sz w:val="24"/>
          <w:szCs w:val="24"/>
        </w:rPr>
        <w:t>All actions proposed by the Internal Audit Service and agreed by management are</w:t>
      </w:r>
      <w:r w:rsidRPr="0016753A">
        <w:rPr>
          <w:rFonts w:ascii="Arial" w:hAnsi="Arial" w:cs="Arial"/>
          <w:sz w:val="24"/>
          <w:szCs w:val="24"/>
        </w:rPr>
        <w:t xml:space="preserve"> stated in terms of the residual risk they are designed to mitigate.</w:t>
      </w:r>
    </w:p>
    <w:p w:rsidR="0016753A" w:rsidRPr="0016753A" w:rsidRDefault="0013376F"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Extreme residual risk:</w:t>
      </w:r>
      <w:r w:rsidRPr="0016753A">
        <w:rPr>
          <w:rFonts w:ascii="Arial" w:hAnsi="Arial" w:cs="Arial"/>
          <w:sz w:val="24"/>
          <w:szCs w:val="24"/>
        </w:rPr>
        <w:t xml:space="preserve"> Critical and urgent in that failure to address the risk could lead to one or more of the following occu</w:t>
      </w:r>
      <w:r>
        <w:rPr>
          <w:rFonts w:ascii="Arial" w:hAnsi="Arial" w:cs="Arial"/>
          <w:sz w:val="24"/>
          <w:szCs w:val="24"/>
        </w:rPr>
        <w:t xml:space="preserve">rring: catastrophic loss of </w:t>
      </w:r>
      <w:r w:rsidRPr="0016753A">
        <w:rPr>
          <w:rFonts w:ascii="Arial" w:hAnsi="Arial" w:cs="Arial"/>
          <w:sz w:val="24"/>
          <w:szCs w:val="24"/>
        </w:rPr>
        <w:t xml:space="preserve">services, loss of life, significant environmental damage or huge financial loss, with related national press coverage and substantial damage to the </w:t>
      </w:r>
      <w:r>
        <w:rPr>
          <w:rFonts w:ascii="Arial" w:hAnsi="Arial" w:cs="Arial"/>
          <w:sz w:val="24"/>
          <w:szCs w:val="24"/>
        </w:rPr>
        <w:t>service's</w:t>
      </w:r>
      <w:r w:rsidRPr="0016753A">
        <w:rPr>
          <w:rFonts w:ascii="Arial" w:hAnsi="Arial" w:cs="Arial"/>
          <w:sz w:val="24"/>
          <w:szCs w:val="24"/>
        </w:rPr>
        <w:t xml:space="preserve"> reputation. </w:t>
      </w:r>
    </w:p>
    <w:p w:rsidR="0016753A" w:rsidRPr="0016753A" w:rsidRDefault="0013376F"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High residual risk:</w:t>
      </w:r>
      <w:r w:rsidRPr="0016753A">
        <w:rPr>
          <w:rFonts w:ascii="Arial" w:hAnsi="Arial" w:cs="Arial"/>
          <w:sz w:val="24"/>
          <w:szCs w:val="24"/>
        </w:rPr>
        <w:t xml:space="preserve"> Critical in that failure to address the issue or progress the wor</w:t>
      </w:r>
      <w:r w:rsidRPr="0016753A">
        <w:rPr>
          <w:rFonts w:ascii="Arial" w:hAnsi="Arial" w:cs="Arial"/>
          <w:sz w:val="24"/>
          <w:szCs w:val="24"/>
        </w:rPr>
        <w:t xml:space="preserve">k would lead to one or more of the following occurring: failure to achieve organisational objectives, disruption to the business, financial loss, fraud, inefficient use of resources, failure to comply with law or regulations, or damage to the </w:t>
      </w:r>
      <w:r>
        <w:rPr>
          <w:rFonts w:ascii="Arial" w:hAnsi="Arial" w:cs="Arial"/>
          <w:sz w:val="24"/>
          <w:szCs w:val="24"/>
        </w:rPr>
        <w:t xml:space="preserve">service's </w:t>
      </w:r>
      <w:r w:rsidRPr="0016753A">
        <w:rPr>
          <w:rFonts w:ascii="Arial" w:hAnsi="Arial" w:cs="Arial"/>
          <w:sz w:val="24"/>
          <w:szCs w:val="24"/>
        </w:rPr>
        <w:t>rep</w:t>
      </w:r>
      <w:r w:rsidRPr="0016753A">
        <w:rPr>
          <w:rFonts w:ascii="Arial" w:hAnsi="Arial" w:cs="Arial"/>
          <w:sz w:val="24"/>
          <w:szCs w:val="24"/>
        </w:rPr>
        <w:t xml:space="preserve">utation.  </w:t>
      </w:r>
    </w:p>
    <w:p w:rsidR="0016753A" w:rsidRPr="0016753A" w:rsidRDefault="0013376F"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Medium residual risk:</w:t>
      </w:r>
      <w:r w:rsidRPr="0016753A">
        <w:rPr>
          <w:rFonts w:ascii="Arial" w:hAnsi="Arial" w:cs="Arial"/>
          <w:sz w:val="24"/>
          <w:szCs w:val="24"/>
        </w:rPr>
        <w:t xml:space="preserve"> Less critical, but failure to address the issue or progress the work could impact on operational objectives and should be of concern to senior management. </w:t>
      </w:r>
    </w:p>
    <w:p w:rsidR="0016753A" w:rsidRPr="0058666B" w:rsidRDefault="0013376F" w:rsidP="00154716">
      <w:pPr>
        <w:autoSpaceDE w:val="0"/>
        <w:autoSpaceDN w:val="0"/>
        <w:adjustRightInd w:val="0"/>
        <w:spacing w:before="240" w:after="240" w:line="240" w:lineRule="auto"/>
        <w:rPr>
          <w:rFonts w:ascii="Arial" w:hAnsi="Arial" w:cs="Arial"/>
          <w:sz w:val="24"/>
          <w:szCs w:val="24"/>
        </w:rPr>
      </w:pPr>
      <w:r w:rsidRPr="0016753A">
        <w:rPr>
          <w:rFonts w:ascii="Arial" w:hAnsi="Arial" w:cs="Arial"/>
          <w:b/>
          <w:sz w:val="24"/>
          <w:szCs w:val="24"/>
        </w:rPr>
        <w:t>Low residual risk:</w:t>
      </w:r>
      <w:r w:rsidRPr="0016753A">
        <w:rPr>
          <w:rFonts w:ascii="Arial" w:hAnsi="Arial" w:cs="Arial"/>
          <w:sz w:val="24"/>
          <w:szCs w:val="24"/>
        </w:rPr>
        <w:t xml:space="preserve"> Areas that individually have no major impact on </w:t>
      </w:r>
      <w:r w:rsidRPr="0016753A">
        <w:rPr>
          <w:rFonts w:ascii="Arial" w:hAnsi="Arial" w:cs="Arial"/>
          <w:sz w:val="24"/>
          <w:szCs w:val="24"/>
        </w:rPr>
        <w:t xml:space="preserve">achieving the service objectives or on the work programme, but where combined with others could give cause for concern. </w:t>
      </w:r>
    </w:p>
    <w:sectPr w:rsidR="0016753A" w:rsidRPr="0058666B" w:rsidSect="001E129A">
      <w:pgSz w:w="12240" w:h="15840"/>
      <w:pgMar w:top="1560" w:right="1608" w:bottom="1135" w:left="1560" w:header="709"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3376F">
      <w:pPr>
        <w:spacing w:line="240" w:lineRule="auto"/>
      </w:pPr>
      <w:r>
        <w:separator/>
      </w:r>
    </w:p>
  </w:endnote>
  <w:endnote w:type="continuationSeparator" w:id="0">
    <w:p w:rsidR="00000000" w:rsidRDefault="00133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25964"/>
      <w:docPartObj>
        <w:docPartGallery w:val="Page Numbers (Bottom of Page)"/>
        <w:docPartUnique/>
      </w:docPartObj>
    </w:sdtPr>
    <w:sdtEndPr>
      <w:rPr>
        <w:rFonts w:ascii="Arial" w:hAnsi="Arial" w:cs="Arial"/>
        <w:noProof/>
        <w:sz w:val="24"/>
        <w:szCs w:val="24"/>
      </w:rPr>
    </w:sdtEndPr>
    <w:sdtContent>
      <w:p w:rsidR="00BF79C8" w:rsidRPr="00BF79C8" w:rsidRDefault="0013376F">
        <w:pPr>
          <w:pStyle w:val="Footer"/>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1</w:t>
        </w:r>
        <w:r w:rsidRPr="00BF79C8">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4646"/>
      <w:docPartObj>
        <w:docPartGallery w:val="Page Numbers (Bottom of Page)"/>
        <w:docPartUnique/>
      </w:docPartObj>
    </w:sdtPr>
    <w:sdtEndPr>
      <w:rPr>
        <w:rFonts w:ascii="Arial" w:hAnsi="Arial" w:cs="Arial"/>
        <w:noProof/>
        <w:sz w:val="24"/>
        <w:szCs w:val="24"/>
      </w:rPr>
    </w:sdtEndPr>
    <w:sdtContent>
      <w:p w:rsidR="00BF79C8" w:rsidRPr="00BF79C8" w:rsidRDefault="0013376F" w:rsidP="00BF79C8">
        <w:pPr>
          <w:pStyle w:val="Footer"/>
          <w:tabs>
            <w:tab w:val="clear" w:pos="4153"/>
            <w:tab w:val="clear" w:pos="8306"/>
          </w:tabs>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9</w:t>
        </w:r>
        <w:r w:rsidRPr="00BF79C8">
          <w:rPr>
            <w:rFonts w:ascii="Arial" w:hAnsi="Arial" w:cs="Arial"/>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30079"/>
      <w:docPartObj>
        <w:docPartGallery w:val="Page Numbers (Bottom of Page)"/>
        <w:docPartUnique/>
      </w:docPartObj>
    </w:sdtPr>
    <w:sdtEndPr>
      <w:rPr>
        <w:rFonts w:ascii="Arial" w:hAnsi="Arial" w:cs="Arial"/>
        <w:noProof/>
        <w:sz w:val="24"/>
        <w:szCs w:val="24"/>
      </w:rPr>
    </w:sdtEndPr>
    <w:sdtContent>
      <w:p w:rsidR="00C22B85" w:rsidRPr="00BF79C8" w:rsidRDefault="0013376F">
        <w:pPr>
          <w:pStyle w:val="Footer"/>
          <w:jc w:val="center"/>
          <w:rPr>
            <w:rFonts w:ascii="Arial" w:hAnsi="Arial" w:cs="Arial"/>
            <w:sz w:val="24"/>
            <w:szCs w:val="24"/>
          </w:rPr>
        </w:pPr>
        <w:r w:rsidRPr="00BF79C8">
          <w:rPr>
            <w:rFonts w:ascii="Arial" w:hAnsi="Arial" w:cs="Arial"/>
            <w:sz w:val="24"/>
            <w:szCs w:val="24"/>
          </w:rPr>
          <w:fldChar w:fldCharType="begin"/>
        </w:r>
        <w:r w:rsidRPr="00BF79C8">
          <w:rPr>
            <w:rFonts w:ascii="Arial" w:hAnsi="Arial" w:cs="Arial"/>
            <w:sz w:val="24"/>
            <w:szCs w:val="24"/>
          </w:rPr>
          <w:instrText xml:space="preserve"> PAGE   \* MERGEFORMAT </w:instrText>
        </w:r>
        <w:r w:rsidRPr="00BF79C8">
          <w:rPr>
            <w:rFonts w:ascii="Arial" w:hAnsi="Arial" w:cs="Arial"/>
            <w:sz w:val="24"/>
            <w:szCs w:val="24"/>
          </w:rPr>
          <w:fldChar w:fldCharType="separate"/>
        </w:r>
        <w:r>
          <w:rPr>
            <w:rFonts w:ascii="Arial" w:hAnsi="Arial" w:cs="Arial"/>
            <w:noProof/>
            <w:sz w:val="24"/>
            <w:szCs w:val="24"/>
          </w:rPr>
          <w:t>10</w:t>
        </w:r>
        <w:r w:rsidRPr="00BF79C8">
          <w:rPr>
            <w:rFonts w:ascii="Arial" w:hAnsi="Arial" w:cs="Arial"/>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3376F">
      <w:pPr>
        <w:spacing w:line="240" w:lineRule="auto"/>
      </w:pPr>
      <w:r>
        <w:separator/>
      </w:r>
    </w:p>
  </w:footnote>
  <w:footnote w:type="continuationSeparator" w:id="0">
    <w:p w:rsidR="00000000" w:rsidRDefault="00133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53" w:rsidRDefault="0013376F">
    <w:pPr>
      <w:pStyle w:val="Header"/>
      <w:rPr>
        <w:rFonts w:ascii="Arial" w:hAnsi="Arial" w:cs="Arial"/>
      </w:rPr>
    </w:pPr>
    <w:r>
      <w:rPr>
        <w:rFonts w:ascii="Arial" w:hAnsi="Arial" w:cs="Arial"/>
      </w:rPr>
      <w:t xml:space="preserve">Lancashire </w:t>
    </w:r>
    <w:r>
      <w:rPr>
        <w:rFonts w:ascii="Arial" w:hAnsi="Arial" w:cs="Arial"/>
      </w:rPr>
      <w:t xml:space="preserve">Pension </w:t>
    </w:r>
    <w:r>
      <w:rPr>
        <w:rFonts w:ascii="Arial" w:hAnsi="Arial" w:cs="Arial"/>
      </w:rPr>
      <w:t>F</w:t>
    </w:r>
    <w:r>
      <w:rPr>
        <w:rFonts w:ascii="Arial" w:hAnsi="Arial" w:cs="Arial"/>
      </w:rPr>
      <w:t>und</w:t>
    </w:r>
    <w:r w:rsidRPr="004636A1">
      <w:rPr>
        <w:rFonts w:ascii="Arial" w:hAnsi="Arial" w:cs="Arial"/>
      </w:rPr>
      <w:t xml:space="preserve"> </w:t>
    </w:r>
  </w:p>
  <w:p w:rsidR="00251DEC" w:rsidRPr="004636A1" w:rsidRDefault="0013376F">
    <w:pPr>
      <w:pStyle w:val="Header"/>
      <w:rPr>
        <w:rFonts w:ascii="Arial" w:hAnsi="Arial" w:cs="Arial"/>
      </w:rPr>
    </w:pPr>
    <w:r>
      <w:rPr>
        <w:rFonts w:ascii="Arial" w:hAnsi="Arial" w:cs="Arial"/>
      </w:rPr>
      <w:t>A</w:t>
    </w:r>
    <w:r w:rsidRPr="004636A1">
      <w:rPr>
        <w:rFonts w:ascii="Arial" w:hAnsi="Arial" w:cs="Arial"/>
      </w:rPr>
      <w:t xml:space="preserve">nnual report </w:t>
    </w:r>
    <w:r>
      <w:rPr>
        <w:rFonts w:ascii="Arial" w:hAnsi="Arial" w:cs="Arial"/>
      </w:rPr>
      <w:t xml:space="preserve">– 2015/16 and </w:t>
    </w:r>
    <w:r>
      <w:rPr>
        <w:rFonts w:ascii="Arial" w:hAnsi="Arial" w:cs="Arial"/>
      </w:rPr>
      <w:t>a</w:t>
    </w:r>
    <w:r>
      <w:rPr>
        <w:rFonts w:ascii="Arial" w:hAnsi="Arial" w:cs="Arial"/>
      </w:rPr>
      <w:t>udit plan - 2016/17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B53" w:rsidRDefault="0013376F" w:rsidP="00BF79C8">
    <w:pPr>
      <w:pStyle w:val="Header"/>
      <w:rPr>
        <w:rFonts w:ascii="Arial" w:hAnsi="Arial" w:cs="Arial"/>
      </w:rPr>
    </w:pPr>
    <w:r>
      <w:rPr>
        <w:rFonts w:ascii="Arial" w:hAnsi="Arial" w:cs="Arial"/>
      </w:rPr>
      <w:t>Lancashire Pension Fund</w:t>
    </w:r>
    <w:r w:rsidRPr="004636A1">
      <w:rPr>
        <w:rFonts w:ascii="Arial" w:hAnsi="Arial" w:cs="Arial"/>
      </w:rPr>
      <w:t xml:space="preserve"> </w:t>
    </w:r>
  </w:p>
  <w:p w:rsidR="00BF79C8" w:rsidRPr="00BF79C8" w:rsidRDefault="0013376F" w:rsidP="00BF79C8">
    <w:pPr>
      <w:pStyle w:val="Header"/>
      <w:rPr>
        <w:rFonts w:ascii="Arial" w:hAnsi="Arial" w:cs="Arial"/>
      </w:rPr>
    </w:pPr>
    <w:r>
      <w:rPr>
        <w:rFonts w:ascii="Arial" w:hAnsi="Arial" w:cs="Arial"/>
      </w:rPr>
      <w:t>A</w:t>
    </w:r>
    <w:r w:rsidRPr="004636A1">
      <w:rPr>
        <w:rFonts w:ascii="Arial" w:hAnsi="Arial" w:cs="Arial"/>
      </w:rPr>
      <w:t xml:space="preserve">nnual report </w:t>
    </w:r>
    <w:r>
      <w:rPr>
        <w:rFonts w:ascii="Arial" w:hAnsi="Arial" w:cs="Arial"/>
      </w:rPr>
      <w:t>for</w:t>
    </w:r>
    <w:r>
      <w:rPr>
        <w:rFonts w:ascii="Arial" w:hAnsi="Arial" w:cs="Arial"/>
      </w:rPr>
      <w:t xml:space="preserve"> 2015/16 and </w:t>
    </w:r>
    <w:r>
      <w:rPr>
        <w:rFonts w:ascii="Arial" w:hAnsi="Arial" w:cs="Arial"/>
      </w:rPr>
      <w:t xml:space="preserve">annual </w:t>
    </w:r>
    <w:r>
      <w:rPr>
        <w:rFonts w:ascii="Arial" w:hAnsi="Arial" w:cs="Arial"/>
      </w:rPr>
      <w:t>a</w:t>
    </w:r>
    <w:r>
      <w:rPr>
        <w:rFonts w:ascii="Arial" w:hAnsi="Arial" w:cs="Arial"/>
      </w:rPr>
      <w:t xml:space="preserve">udit plan </w:t>
    </w:r>
    <w:r>
      <w:rPr>
        <w:rFonts w:ascii="Arial" w:hAnsi="Arial" w:cs="Arial"/>
      </w:rPr>
      <w:t xml:space="preserve">for </w:t>
    </w:r>
    <w:r>
      <w:rPr>
        <w:rFonts w:ascii="Arial" w:hAnsi="Arial" w:cs="Arial"/>
      </w:rPr>
      <w:t>2016/17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EC" w:rsidRPr="004636A1" w:rsidRDefault="0013376F" w:rsidP="00AD3817">
    <w:pPr>
      <w:pStyle w:val="Header"/>
      <w:rPr>
        <w:rFonts w:ascii="Arial" w:hAnsi="Arial" w:cs="Arial"/>
      </w:rPr>
    </w:pPr>
    <w:r w:rsidRPr="004636A1">
      <w:rPr>
        <w:rFonts w:ascii="Arial" w:hAnsi="Arial" w:cs="Arial"/>
      </w:rPr>
      <w:t xml:space="preserve">Lancashire </w:t>
    </w:r>
    <w:r>
      <w:rPr>
        <w:rFonts w:ascii="Arial" w:hAnsi="Arial" w:cs="Arial"/>
      </w:rPr>
      <w:t>County Council Internal Audit Service</w:t>
    </w:r>
  </w:p>
  <w:p w:rsidR="00251DEC" w:rsidRPr="004636A1" w:rsidRDefault="0013376F">
    <w:pPr>
      <w:pStyle w:val="Header"/>
      <w:rPr>
        <w:rFonts w:ascii="Arial" w:hAnsi="Arial" w:cs="Arial"/>
      </w:rPr>
    </w:pPr>
    <w:r>
      <w:rPr>
        <w:rFonts w:ascii="Arial" w:hAnsi="Arial" w:cs="Arial"/>
      </w:rPr>
      <w:t>Lancashire Pension Fund</w:t>
    </w:r>
    <w:r w:rsidRPr="004636A1">
      <w:rPr>
        <w:rFonts w:ascii="Arial" w:hAnsi="Arial" w:cs="Arial"/>
      </w:rPr>
      <w:t xml:space="preserve"> annual report </w:t>
    </w:r>
    <w:r>
      <w:rPr>
        <w:rFonts w:ascii="Arial" w:hAnsi="Arial" w:cs="Arial"/>
      </w:rPr>
      <w:t xml:space="preserve">for 2014/ 2015 and annual plan for </w:t>
    </w:r>
    <w:r>
      <w:rPr>
        <w:rFonts w:ascii="Arial" w:hAnsi="Arial" w:cs="Arial"/>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1141"/>
    <w:multiLevelType w:val="hybridMultilevel"/>
    <w:tmpl w:val="370AD1E8"/>
    <w:lvl w:ilvl="0" w:tplc="8B0E3ACE">
      <w:start w:val="1"/>
      <w:numFmt w:val="decimal"/>
      <w:lvlText w:val="A.%1"/>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73649B0" w:tentative="1">
      <w:start w:val="1"/>
      <w:numFmt w:val="lowerLetter"/>
      <w:lvlText w:val="%2."/>
      <w:lvlJc w:val="left"/>
      <w:pPr>
        <w:ind w:left="1440" w:hanging="360"/>
      </w:pPr>
    </w:lvl>
    <w:lvl w:ilvl="2" w:tplc="384C36D0" w:tentative="1">
      <w:start w:val="1"/>
      <w:numFmt w:val="lowerRoman"/>
      <w:lvlText w:val="%3."/>
      <w:lvlJc w:val="right"/>
      <w:pPr>
        <w:ind w:left="2160" w:hanging="180"/>
      </w:pPr>
    </w:lvl>
    <w:lvl w:ilvl="3" w:tplc="3F68D542" w:tentative="1">
      <w:start w:val="1"/>
      <w:numFmt w:val="decimal"/>
      <w:lvlText w:val="%4."/>
      <w:lvlJc w:val="left"/>
      <w:pPr>
        <w:ind w:left="2880" w:hanging="360"/>
      </w:pPr>
    </w:lvl>
    <w:lvl w:ilvl="4" w:tplc="FFB2D596" w:tentative="1">
      <w:start w:val="1"/>
      <w:numFmt w:val="lowerLetter"/>
      <w:lvlText w:val="%5."/>
      <w:lvlJc w:val="left"/>
      <w:pPr>
        <w:ind w:left="3600" w:hanging="360"/>
      </w:pPr>
    </w:lvl>
    <w:lvl w:ilvl="5" w:tplc="6B7AC4C0" w:tentative="1">
      <w:start w:val="1"/>
      <w:numFmt w:val="lowerRoman"/>
      <w:lvlText w:val="%6."/>
      <w:lvlJc w:val="right"/>
      <w:pPr>
        <w:ind w:left="4320" w:hanging="180"/>
      </w:pPr>
    </w:lvl>
    <w:lvl w:ilvl="6" w:tplc="A00C8818" w:tentative="1">
      <w:start w:val="1"/>
      <w:numFmt w:val="decimal"/>
      <w:lvlText w:val="%7."/>
      <w:lvlJc w:val="left"/>
      <w:pPr>
        <w:ind w:left="5040" w:hanging="360"/>
      </w:pPr>
    </w:lvl>
    <w:lvl w:ilvl="7" w:tplc="918E7EF8" w:tentative="1">
      <w:start w:val="1"/>
      <w:numFmt w:val="lowerLetter"/>
      <w:lvlText w:val="%8."/>
      <w:lvlJc w:val="left"/>
      <w:pPr>
        <w:ind w:left="5760" w:hanging="360"/>
      </w:pPr>
    </w:lvl>
    <w:lvl w:ilvl="8" w:tplc="56B27F74" w:tentative="1">
      <w:start w:val="1"/>
      <w:numFmt w:val="lowerRoman"/>
      <w:lvlText w:val="%9."/>
      <w:lvlJc w:val="right"/>
      <w:pPr>
        <w:ind w:left="6480" w:hanging="180"/>
      </w:pPr>
    </w:lvl>
  </w:abstractNum>
  <w:abstractNum w:abstractNumId="1" w15:restartNumberingAfterBreak="0">
    <w:nsid w:val="14E30EDD"/>
    <w:multiLevelType w:val="hybridMultilevel"/>
    <w:tmpl w:val="F11E8FB8"/>
    <w:lvl w:ilvl="0" w:tplc="B9D6C22C">
      <w:start w:val="1"/>
      <w:numFmt w:val="bullet"/>
      <w:lvlText w:val=""/>
      <w:lvlJc w:val="left"/>
      <w:pPr>
        <w:ind w:left="1211" w:hanging="360"/>
      </w:pPr>
      <w:rPr>
        <w:rFonts w:ascii="Symbol" w:hAnsi="Symbol" w:hint="default"/>
      </w:rPr>
    </w:lvl>
    <w:lvl w:ilvl="1" w:tplc="AFBE9C26" w:tentative="1">
      <w:start w:val="1"/>
      <w:numFmt w:val="bullet"/>
      <w:lvlText w:val="o"/>
      <w:lvlJc w:val="left"/>
      <w:pPr>
        <w:ind w:left="1931" w:hanging="360"/>
      </w:pPr>
      <w:rPr>
        <w:rFonts w:ascii="Courier New" w:hAnsi="Courier New" w:cs="Courier New" w:hint="default"/>
      </w:rPr>
    </w:lvl>
    <w:lvl w:ilvl="2" w:tplc="0D42EEFE" w:tentative="1">
      <w:start w:val="1"/>
      <w:numFmt w:val="bullet"/>
      <w:lvlText w:val=""/>
      <w:lvlJc w:val="left"/>
      <w:pPr>
        <w:ind w:left="2651" w:hanging="360"/>
      </w:pPr>
      <w:rPr>
        <w:rFonts w:ascii="Wingdings" w:hAnsi="Wingdings" w:hint="default"/>
      </w:rPr>
    </w:lvl>
    <w:lvl w:ilvl="3" w:tplc="23EA0BB8" w:tentative="1">
      <w:start w:val="1"/>
      <w:numFmt w:val="bullet"/>
      <w:lvlText w:val=""/>
      <w:lvlJc w:val="left"/>
      <w:pPr>
        <w:ind w:left="3371" w:hanging="360"/>
      </w:pPr>
      <w:rPr>
        <w:rFonts w:ascii="Symbol" w:hAnsi="Symbol" w:hint="default"/>
      </w:rPr>
    </w:lvl>
    <w:lvl w:ilvl="4" w:tplc="FCF4B19A" w:tentative="1">
      <w:start w:val="1"/>
      <w:numFmt w:val="bullet"/>
      <w:lvlText w:val="o"/>
      <w:lvlJc w:val="left"/>
      <w:pPr>
        <w:ind w:left="4091" w:hanging="360"/>
      </w:pPr>
      <w:rPr>
        <w:rFonts w:ascii="Courier New" w:hAnsi="Courier New" w:cs="Courier New" w:hint="default"/>
      </w:rPr>
    </w:lvl>
    <w:lvl w:ilvl="5" w:tplc="CEB6CB1A" w:tentative="1">
      <w:start w:val="1"/>
      <w:numFmt w:val="bullet"/>
      <w:lvlText w:val=""/>
      <w:lvlJc w:val="left"/>
      <w:pPr>
        <w:ind w:left="4811" w:hanging="360"/>
      </w:pPr>
      <w:rPr>
        <w:rFonts w:ascii="Wingdings" w:hAnsi="Wingdings" w:hint="default"/>
      </w:rPr>
    </w:lvl>
    <w:lvl w:ilvl="6" w:tplc="21A664F0" w:tentative="1">
      <w:start w:val="1"/>
      <w:numFmt w:val="bullet"/>
      <w:lvlText w:val=""/>
      <w:lvlJc w:val="left"/>
      <w:pPr>
        <w:ind w:left="5531" w:hanging="360"/>
      </w:pPr>
      <w:rPr>
        <w:rFonts w:ascii="Symbol" w:hAnsi="Symbol" w:hint="default"/>
      </w:rPr>
    </w:lvl>
    <w:lvl w:ilvl="7" w:tplc="CDA4B84A" w:tentative="1">
      <w:start w:val="1"/>
      <w:numFmt w:val="bullet"/>
      <w:lvlText w:val="o"/>
      <w:lvlJc w:val="left"/>
      <w:pPr>
        <w:ind w:left="6251" w:hanging="360"/>
      </w:pPr>
      <w:rPr>
        <w:rFonts w:ascii="Courier New" w:hAnsi="Courier New" w:cs="Courier New" w:hint="default"/>
      </w:rPr>
    </w:lvl>
    <w:lvl w:ilvl="8" w:tplc="76AE4EF0" w:tentative="1">
      <w:start w:val="1"/>
      <w:numFmt w:val="bullet"/>
      <w:lvlText w:val=""/>
      <w:lvlJc w:val="left"/>
      <w:pPr>
        <w:ind w:left="6971" w:hanging="360"/>
      </w:pPr>
      <w:rPr>
        <w:rFonts w:ascii="Wingdings" w:hAnsi="Wingdings" w:hint="default"/>
      </w:rPr>
    </w:lvl>
  </w:abstractNum>
  <w:abstractNum w:abstractNumId="2" w15:restartNumberingAfterBreak="0">
    <w:nsid w:val="2E4834C4"/>
    <w:multiLevelType w:val="multilevel"/>
    <w:tmpl w:val="1E7498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7B5CE1"/>
    <w:multiLevelType w:val="hybridMultilevel"/>
    <w:tmpl w:val="E31C6B1E"/>
    <w:lvl w:ilvl="0" w:tplc="918C40EC">
      <w:start w:val="1"/>
      <w:numFmt w:val="bullet"/>
      <w:lvlText w:val=""/>
      <w:lvlJc w:val="left"/>
      <w:pPr>
        <w:ind w:left="720" w:hanging="360"/>
      </w:pPr>
      <w:rPr>
        <w:rFonts w:ascii="Symbol" w:hAnsi="Symbol" w:hint="default"/>
      </w:rPr>
    </w:lvl>
    <w:lvl w:ilvl="1" w:tplc="EA38ED1E" w:tentative="1">
      <w:start w:val="1"/>
      <w:numFmt w:val="bullet"/>
      <w:lvlText w:val="o"/>
      <w:lvlJc w:val="left"/>
      <w:pPr>
        <w:ind w:left="1440" w:hanging="360"/>
      </w:pPr>
      <w:rPr>
        <w:rFonts w:ascii="Courier New" w:hAnsi="Courier New" w:cs="Courier New" w:hint="default"/>
      </w:rPr>
    </w:lvl>
    <w:lvl w:ilvl="2" w:tplc="2032A1D6" w:tentative="1">
      <w:start w:val="1"/>
      <w:numFmt w:val="bullet"/>
      <w:lvlText w:val=""/>
      <w:lvlJc w:val="left"/>
      <w:pPr>
        <w:ind w:left="2160" w:hanging="360"/>
      </w:pPr>
      <w:rPr>
        <w:rFonts w:ascii="Wingdings" w:hAnsi="Wingdings" w:hint="default"/>
      </w:rPr>
    </w:lvl>
    <w:lvl w:ilvl="3" w:tplc="F858F4BA" w:tentative="1">
      <w:start w:val="1"/>
      <w:numFmt w:val="bullet"/>
      <w:lvlText w:val=""/>
      <w:lvlJc w:val="left"/>
      <w:pPr>
        <w:ind w:left="2880" w:hanging="360"/>
      </w:pPr>
      <w:rPr>
        <w:rFonts w:ascii="Symbol" w:hAnsi="Symbol" w:hint="default"/>
      </w:rPr>
    </w:lvl>
    <w:lvl w:ilvl="4" w:tplc="1DFA447C" w:tentative="1">
      <w:start w:val="1"/>
      <w:numFmt w:val="bullet"/>
      <w:lvlText w:val="o"/>
      <w:lvlJc w:val="left"/>
      <w:pPr>
        <w:ind w:left="3600" w:hanging="360"/>
      </w:pPr>
      <w:rPr>
        <w:rFonts w:ascii="Courier New" w:hAnsi="Courier New" w:cs="Courier New" w:hint="default"/>
      </w:rPr>
    </w:lvl>
    <w:lvl w:ilvl="5" w:tplc="CA744052" w:tentative="1">
      <w:start w:val="1"/>
      <w:numFmt w:val="bullet"/>
      <w:lvlText w:val=""/>
      <w:lvlJc w:val="left"/>
      <w:pPr>
        <w:ind w:left="4320" w:hanging="360"/>
      </w:pPr>
      <w:rPr>
        <w:rFonts w:ascii="Wingdings" w:hAnsi="Wingdings" w:hint="default"/>
      </w:rPr>
    </w:lvl>
    <w:lvl w:ilvl="6" w:tplc="0FDE1E86" w:tentative="1">
      <w:start w:val="1"/>
      <w:numFmt w:val="bullet"/>
      <w:lvlText w:val=""/>
      <w:lvlJc w:val="left"/>
      <w:pPr>
        <w:ind w:left="5040" w:hanging="360"/>
      </w:pPr>
      <w:rPr>
        <w:rFonts w:ascii="Symbol" w:hAnsi="Symbol" w:hint="default"/>
      </w:rPr>
    </w:lvl>
    <w:lvl w:ilvl="7" w:tplc="3A7E63D6" w:tentative="1">
      <w:start w:val="1"/>
      <w:numFmt w:val="bullet"/>
      <w:lvlText w:val="o"/>
      <w:lvlJc w:val="left"/>
      <w:pPr>
        <w:ind w:left="5760" w:hanging="360"/>
      </w:pPr>
      <w:rPr>
        <w:rFonts w:ascii="Courier New" w:hAnsi="Courier New" w:cs="Courier New" w:hint="default"/>
      </w:rPr>
    </w:lvl>
    <w:lvl w:ilvl="8" w:tplc="A068261A" w:tentative="1">
      <w:start w:val="1"/>
      <w:numFmt w:val="bullet"/>
      <w:lvlText w:val=""/>
      <w:lvlJc w:val="left"/>
      <w:pPr>
        <w:ind w:left="6480" w:hanging="360"/>
      </w:pPr>
      <w:rPr>
        <w:rFonts w:ascii="Wingdings" w:hAnsi="Wingdings" w:hint="default"/>
      </w:rPr>
    </w:lvl>
  </w:abstractNum>
  <w:abstractNum w:abstractNumId="4" w15:restartNumberingAfterBreak="0">
    <w:nsid w:val="3A947F48"/>
    <w:multiLevelType w:val="multilevel"/>
    <w:tmpl w:val="AC327930"/>
    <w:lvl w:ilvl="0">
      <w:start w:val="1"/>
      <w:numFmt w:val="decimal"/>
      <w:lvlText w:val="%1"/>
      <w:lvlJc w:val="left"/>
      <w:pPr>
        <w:tabs>
          <w:tab w:val="num" w:pos="851"/>
        </w:tabs>
        <w:ind w:left="851" w:hanging="851"/>
      </w:pPr>
      <w:rPr>
        <w:rFonts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b w:val="0"/>
        <w:i w:val="0"/>
        <w:sz w:val="24"/>
        <w:szCs w:val="24"/>
      </w:rPr>
    </w:lvl>
    <w:lvl w:ilvl="2">
      <w:start w:val="1"/>
      <w:numFmt w:val="decimal"/>
      <w:lvlText w:val="%1.%2.%3"/>
      <w:lvlJc w:val="left"/>
      <w:pPr>
        <w:tabs>
          <w:tab w:val="num" w:pos="851"/>
        </w:tabs>
        <w:ind w:left="851" w:hanging="851"/>
      </w:pPr>
      <w:rPr>
        <w:rFonts w:cs="Times New Roman" w:hint="default"/>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5" w15:restartNumberingAfterBreak="0">
    <w:nsid w:val="3F4B63FF"/>
    <w:multiLevelType w:val="hybridMultilevel"/>
    <w:tmpl w:val="EAD822F4"/>
    <w:lvl w:ilvl="0" w:tplc="F5183208">
      <w:start w:val="1"/>
      <w:numFmt w:val="bullet"/>
      <w:lvlText w:val=""/>
      <w:lvlJc w:val="left"/>
      <w:pPr>
        <w:ind w:left="1305" w:hanging="585"/>
      </w:pPr>
      <w:rPr>
        <w:rFonts w:ascii="Symbol" w:hAnsi="Symbol" w:hint="default"/>
      </w:rPr>
    </w:lvl>
    <w:lvl w:ilvl="1" w:tplc="D1C29C58" w:tentative="1">
      <w:start w:val="1"/>
      <w:numFmt w:val="bullet"/>
      <w:lvlText w:val="o"/>
      <w:lvlJc w:val="left"/>
      <w:pPr>
        <w:ind w:left="1800" w:hanging="360"/>
      </w:pPr>
      <w:rPr>
        <w:rFonts w:ascii="Courier New" w:hAnsi="Courier New" w:cs="Courier New" w:hint="default"/>
      </w:rPr>
    </w:lvl>
    <w:lvl w:ilvl="2" w:tplc="8D5216B4" w:tentative="1">
      <w:start w:val="1"/>
      <w:numFmt w:val="bullet"/>
      <w:lvlText w:val=""/>
      <w:lvlJc w:val="left"/>
      <w:pPr>
        <w:ind w:left="2520" w:hanging="360"/>
      </w:pPr>
      <w:rPr>
        <w:rFonts w:ascii="Wingdings" w:hAnsi="Wingdings" w:hint="default"/>
      </w:rPr>
    </w:lvl>
    <w:lvl w:ilvl="3" w:tplc="500A0F4C" w:tentative="1">
      <w:start w:val="1"/>
      <w:numFmt w:val="bullet"/>
      <w:lvlText w:val=""/>
      <w:lvlJc w:val="left"/>
      <w:pPr>
        <w:ind w:left="3240" w:hanging="360"/>
      </w:pPr>
      <w:rPr>
        <w:rFonts w:ascii="Symbol" w:hAnsi="Symbol" w:hint="default"/>
      </w:rPr>
    </w:lvl>
    <w:lvl w:ilvl="4" w:tplc="3B4099DC" w:tentative="1">
      <w:start w:val="1"/>
      <w:numFmt w:val="bullet"/>
      <w:lvlText w:val="o"/>
      <w:lvlJc w:val="left"/>
      <w:pPr>
        <w:ind w:left="3960" w:hanging="360"/>
      </w:pPr>
      <w:rPr>
        <w:rFonts w:ascii="Courier New" w:hAnsi="Courier New" w:cs="Courier New" w:hint="default"/>
      </w:rPr>
    </w:lvl>
    <w:lvl w:ilvl="5" w:tplc="367EFEEE" w:tentative="1">
      <w:start w:val="1"/>
      <w:numFmt w:val="bullet"/>
      <w:lvlText w:val=""/>
      <w:lvlJc w:val="left"/>
      <w:pPr>
        <w:ind w:left="4680" w:hanging="360"/>
      </w:pPr>
      <w:rPr>
        <w:rFonts w:ascii="Wingdings" w:hAnsi="Wingdings" w:hint="default"/>
      </w:rPr>
    </w:lvl>
    <w:lvl w:ilvl="6" w:tplc="871EFC1A" w:tentative="1">
      <w:start w:val="1"/>
      <w:numFmt w:val="bullet"/>
      <w:lvlText w:val=""/>
      <w:lvlJc w:val="left"/>
      <w:pPr>
        <w:ind w:left="5400" w:hanging="360"/>
      </w:pPr>
      <w:rPr>
        <w:rFonts w:ascii="Symbol" w:hAnsi="Symbol" w:hint="default"/>
      </w:rPr>
    </w:lvl>
    <w:lvl w:ilvl="7" w:tplc="3BFCB0E2" w:tentative="1">
      <w:start w:val="1"/>
      <w:numFmt w:val="bullet"/>
      <w:lvlText w:val="o"/>
      <w:lvlJc w:val="left"/>
      <w:pPr>
        <w:ind w:left="6120" w:hanging="360"/>
      </w:pPr>
      <w:rPr>
        <w:rFonts w:ascii="Courier New" w:hAnsi="Courier New" w:cs="Courier New" w:hint="default"/>
      </w:rPr>
    </w:lvl>
    <w:lvl w:ilvl="8" w:tplc="73947BC6" w:tentative="1">
      <w:start w:val="1"/>
      <w:numFmt w:val="bullet"/>
      <w:lvlText w:val=""/>
      <w:lvlJc w:val="left"/>
      <w:pPr>
        <w:ind w:left="6840" w:hanging="360"/>
      </w:pPr>
      <w:rPr>
        <w:rFonts w:ascii="Wingdings" w:hAnsi="Wingdings" w:hint="default"/>
      </w:rPr>
    </w:lvl>
  </w:abstractNum>
  <w:abstractNum w:abstractNumId="6" w15:restartNumberingAfterBreak="0">
    <w:nsid w:val="4D877B23"/>
    <w:multiLevelType w:val="hybridMultilevel"/>
    <w:tmpl w:val="6212D566"/>
    <w:lvl w:ilvl="0" w:tplc="27C29F94">
      <w:start w:val="1"/>
      <w:numFmt w:val="bullet"/>
      <w:lvlText w:val=""/>
      <w:lvlJc w:val="left"/>
      <w:pPr>
        <w:ind w:left="1211" w:hanging="360"/>
      </w:pPr>
      <w:rPr>
        <w:rFonts w:ascii="Symbol" w:hAnsi="Symbol" w:hint="default"/>
      </w:rPr>
    </w:lvl>
    <w:lvl w:ilvl="1" w:tplc="69147C54" w:tentative="1">
      <w:start w:val="1"/>
      <w:numFmt w:val="bullet"/>
      <w:lvlText w:val="o"/>
      <w:lvlJc w:val="left"/>
      <w:pPr>
        <w:ind w:left="1931" w:hanging="360"/>
      </w:pPr>
      <w:rPr>
        <w:rFonts w:ascii="Courier New" w:hAnsi="Courier New" w:cs="Courier New" w:hint="default"/>
      </w:rPr>
    </w:lvl>
    <w:lvl w:ilvl="2" w:tplc="3B78BC80" w:tentative="1">
      <w:start w:val="1"/>
      <w:numFmt w:val="bullet"/>
      <w:lvlText w:val=""/>
      <w:lvlJc w:val="left"/>
      <w:pPr>
        <w:ind w:left="2651" w:hanging="360"/>
      </w:pPr>
      <w:rPr>
        <w:rFonts w:ascii="Wingdings" w:hAnsi="Wingdings" w:hint="default"/>
      </w:rPr>
    </w:lvl>
    <w:lvl w:ilvl="3" w:tplc="FAE605D8" w:tentative="1">
      <w:start w:val="1"/>
      <w:numFmt w:val="bullet"/>
      <w:lvlText w:val=""/>
      <w:lvlJc w:val="left"/>
      <w:pPr>
        <w:ind w:left="3371" w:hanging="360"/>
      </w:pPr>
      <w:rPr>
        <w:rFonts w:ascii="Symbol" w:hAnsi="Symbol" w:hint="default"/>
      </w:rPr>
    </w:lvl>
    <w:lvl w:ilvl="4" w:tplc="6F72F09A" w:tentative="1">
      <w:start w:val="1"/>
      <w:numFmt w:val="bullet"/>
      <w:lvlText w:val="o"/>
      <w:lvlJc w:val="left"/>
      <w:pPr>
        <w:ind w:left="4091" w:hanging="360"/>
      </w:pPr>
      <w:rPr>
        <w:rFonts w:ascii="Courier New" w:hAnsi="Courier New" w:cs="Courier New" w:hint="default"/>
      </w:rPr>
    </w:lvl>
    <w:lvl w:ilvl="5" w:tplc="F56A67D6" w:tentative="1">
      <w:start w:val="1"/>
      <w:numFmt w:val="bullet"/>
      <w:lvlText w:val=""/>
      <w:lvlJc w:val="left"/>
      <w:pPr>
        <w:ind w:left="4811" w:hanging="360"/>
      </w:pPr>
      <w:rPr>
        <w:rFonts w:ascii="Wingdings" w:hAnsi="Wingdings" w:hint="default"/>
      </w:rPr>
    </w:lvl>
    <w:lvl w:ilvl="6" w:tplc="DBF605F8" w:tentative="1">
      <w:start w:val="1"/>
      <w:numFmt w:val="bullet"/>
      <w:lvlText w:val=""/>
      <w:lvlJc w:val="left"/>
      <w:pPr>
        <w:ind w:left="5531" w:hanging="360"/>
      </w:pPr>
      <w:rPr>
        <w:rFonts w:ascii="Symbol" w:hAnsi="Symbol" w:hint="default"/>
      </w:rPr>
    </w:lvl>
    <w:lvl w:ilvl="7" w:tplc="7AEE7030" w:tentative="1">
      <w:start w:val="1"/>
      <w:numFmt w:val="bullet"/>
      <w:lvlText w:val="o"/>
      <w:lvlJc w:val="left"/>
      <w:pPr>
        <w:ind w:left="6251" w:hanging="360"/>
      </w:pPr>
      <w:rPr>
        <w:rFonts w:ascii="Courier New" w:hAnsi="Courier New" w:cs="Courier New" w:hint="default"/>
      </w:rPr>
    </w:lvl>
    <w:lvl w:ilvl="8" w:tplc="79F09286" w:tentative="1">
      <w:start w:val="1"/>
      <w:numFmt w:val="bullet"/>
      <w:lvlText w:val=""/>
      <w:lvlJc w:val="left"/>
      <w:pPr>
        <w:ind w:left="6971" w:hanging="360"/>
      </w:pPr>
      <w:rPr>
        <w:rFonts w:ascii="Wingdings" w:hAnsi="Wingdings" w:hint="default"/>
      </w:rPr>
    </w:lvl>
  </w:abstractNum>
  <w:abstractNum w:abstractNumId="7"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541626B9"/>
    <w:multiLevelType w:val="multilevel"/>
    <w:tmpl w:val="E424C662"/>
    <w:lvl w:ilvl="0">
      <w:start w:val="1"/>
      <w:numFmt w:val="decimal"/>
      <w:lvlText w:val="%1."/>
      <w:lvlJc w:val="left"/>
      <w:pPr>
        <w:tabs>
          <w:tab w:val="num" w:pos="992"/>
        </w:tabs>
        <w:ind w:left="992" w:hanging="992"/>
      </w:pPr>
      <w:rPr>
        <w:rFonts w:cs="Times New Roman" w:hint="default"/>
        <w:sz w:val="28"/>
      </w:rPr>
    </w:lvl>
    <w:lvl w:ilvl="1">
      <w:start w:val="1"/>
      <w:numFmt w:val="decimal"/>
      <w:lvlText w:val="%1.%2."/>
      <w:lvlJc w:val="left"/>
      <w:pPr>
        <w:tabs>
          <w:tab w:val="num" w:pos="992"/>
        </w:tabs>
        <w:ind w:left="992" w:hanging="992"/>
      </w:pPr>
      <w:rPr>
        <w:rFonts w:cs="Times New Roman" w:hint="default"/>
        <w:b w:val="0"/>
        <w:i w:val="0"/>
      </w:rPr>
    </w:lvl>
    <w:lvl w:ilvl="2">
      <w:start w:val="1"/>
      <w:numFmt w:val="decimal"/>
      <w:lvlText w:val="%1.%2.%3."/>
      <w:lvlJc w:val="left"/>
      <w:pPr>
        <w:tabs>
          <w:tab w:val="num" w:pos="0"/>
        </w:tabs>
      </w:pPr>
      <w:rPr>
        <w:rFonts w:cs="Times New Roman" w:hint="default"/>
      </w:rPr>
    </w:lvl>
    <w:lvl w:ilvl="3">
      <w:start w:val="1"/>
      <w:numFmt w:val="lowerRoman"/>
      <w:lvlText w:val="(%4)"/>
      <w:lvlJc w:val="left"/>
      <w:pPr>
        <w:tabs>
          <w:tab w:val="num" w:pos="0"/>
        </w:tabs>
      </w:pPr>
      <w:rPr>
        <w:rFonts w:cs="Times New Roman"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15:restartNumberingAfterBreak="0">
    <w:nsid w:val="55CF29F0"/>
    <w:multiLevelType w:val="multilevel"/>
    <w:tmpl w:val="4EF471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274B96"/>
    <w:multiLevelType w:val="hybridMultilevel"/>
    <w:tmpl w:val="0BF8A404"/>
    <w:lvl w:ilvl="0" w:tplc="CD2C8A22">
      <w:start w:val="1"/>
      <w:numFmt w:val="decimal"/>
      <w:lvlText w:val="%1."/>
      <w:lvlJc w:val="left"/>
      <w:pPr>
        <w:ind w:left="720" w:hanging="360"/>
      </w:pPr>
    </w:lvl>
    <w:lvl w:ilvl="1" w:tplc="CFCEB92A" w:tentative="1">
      <w:start w:val="1"/>
      <w:numFmt w:val="lowerLetter"/>
      <w:lvlText w:val="%2."/>
      <w:lvlJc w:val="left"/>
      <w:pPr>
        <w:ind w:left="1440" w:hanging="360"/>
      </w:pPr>
    </w:lvl>
    <w:lvl w:ilvl="2" w:tplc="232230DC" w:tentative="1">
      <w:start w:val="1"/>
      <w:numFmt w:val="lowerRoman"/>
      <w:lvlText w:val="%3."/>
      <w:lvlJc w:val="right"/>
      <w:pPr>
        <w:ind w:left="2160" w:hanging="180"/>
      </w:pPr>
    </w:lvl>
    <w:lvl w:ilvl="3" w:tplc="C2BC3528" w:tentative="1">
      <w:start w:val="1"/>
      <w:numFmt w:val="decimal"/>
      <w:lvlText w:val="%4."/>
      <w:lvlJc w:val="left"/>
      <w:pPr>
        <w:ind w:left="2880" w:hanging="360"/>
      </w:pPr>
    </w:lvl>
    <w:lvl w:ilvl="4" w:tplc="B22CC25A" w:tentative="1">
      <w:start w:val="1"/>
      <w:numFmt w:val="lowerLetter"/>
      <w:lvlText w:val="%5."/>
      <w:lvlJc w:val="left"/>
      <w:pPr>
        <w:ind w:left="3600" w:hanging="360"/>
      </w:pPr>
    </w:lvl>
    <w:lvl w:ilvl="5" w:tplc="A5F656FE" w:tentative="1">
      <w:start w:val="1"/>
      <w:numFmt w:val="lowerRoman"/>
      <w:lvlText w:val="%6."/>
      <w:lvlJc w:val="right"/>
      <w:pPr>
        <w:ind w:left="4320" w:hanging="180"/>
      </w:pPr>
    </w:lvl>
    <w:lvl w:ilvl="6" w:tplc="A4980084" w:tentative="1">
      <w:start w:val="1"/>
      <w:numFmt w:val="decimal"/>
      <w:lvlText w:val="%7."/>
      <w:lvlJc w:val="left"/>
      <w:pPr>
        <w:ind w:left="5040" w:hanging="360"/>
      </w:pPr>
    </w:lvl>
    <w:lvl w:ilvl="7" w:tplc="495E10B8" w:tentative="1">
      <w:start w:val="1"/>
      <w:numFmt w:val="lowerLetter"/>
      <w:lvlText w:val="%8."/>
      <w:lvlJc w:val="left"/>
      <w:pPr>
        <w:ind w:left="5760" w:hanging="360"/>
      </w:pPr>
    </w:lvl>
    <w:lvl w:ilvl="8" w:tplc="A9744EB0"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0"/>
  </w:num>
  <w:num w:numId="5">
    <w:abstractNumId w:val="0"/>
  </w:num>
  <w:num w:numId="6">
    <w:abstractNumId w:val="6"/>
  </w:num>
  <w:num w:numId="7">
    <w:abstractNumId w:val="1"/>
  </w:num>
  <w:num w:numId="8">
    <w:abstractNumId w:val="5"/>
  </w:num>
  <w:num w:numId="9">
    <w:abstractNumId w:val="3"/>
  </w:num>
  <w:num w:numId="10">
    <w:abstractNumId w:val="9"/>
  </w:num>
  <w:num w:numId="11">
    <w:abstractNumId w:val="7"/>
  </w:num>
  <w:num w:numId="12">
    <w:abstractNumId w:val="7"/>
  </w:num>
  <w:num w:numId="13">
    <w:abstractNumId w:val="7"/>
  </w:num>
  <w:num w:numId="14">
    <w:abstractNumId w:val="7"/>
  </w:num>
  <w:num w:numId="15">
    <w:abstractNumId w:val="7"/>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A8"/>
    <w:rsid w:val="0013376F"/>
    <w:rsid w:val="0045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D53C12-EF5D-4272-8281-BBB72576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765"/>
    <w:pPr>
      <w:spacing w:line="260" w:lineRule="atLeast"/>
    </w:pPr>
    <w:rPr>
      <w:lang w:eastAsia="en-US"/>
    </w:rPr>
  </w:style>
  <w:style w:type="paragraph" w:styleId="Heading1">
    <w:name w:val="heading 1"/>
    <w:basedOn w:val="Normal"/>
    <w:next w:val="Normal"/>
    <w:link w:val="Heading1Char"/>
    <w:uiPriority w:val="99"/>
    <w:qFormat/>
    <w:rsid w:val="008A4F1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9A0668"/>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F1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locked/>
    <w:rsid w:val="009C5191"/>
    <w:rPr>
      <w:rFonts w:ascii="Arial" w:hAnsi="Arial" w:cs="Arial"/>
      <w:b/>
      <w:bCs/>
      <w:sz w:val="26"/>
      <w:szCs w:val="26"/>
    </w:rPr>
  </w:style>
  <w:style w:type="paragraph" w:styleId="BodyText">
    <w:name w:val="Body Text"/>
    <w:basedOn w:val="Normal"/>
    <w:link w:val="BodyTextChar"/>
    <w:rsid w:val="009C7765"/>
    <w:pPr>
      <w:spacing w:after="260"/>
    </w:pPr>
  </w:style>
  <w:style w:type="character" w:customStyle="1" w:styleId="BodyTextChar">
    <w:name w:val="Body Text Char"/>
    <w:basedOn w:val="DefaultParagraphFont"/>
    <w:link w:val="BodyText"/>
    <w:rsid w:val="005B3B2C"/>
    <w:rPr>
      <w:sz w:val="20"/>
      <w:szCs w:val="20"/>
      <w:lang w:eastAsia="en-US"/>
    </w:rPr>
  </w:style>
  <w:style w:type="paragraph" w:customStyle="1" w:styleId="TableText">
    <w:name w:val="Table Text"/>
    <w:basedOn w:val="Normal"/>
    <w:uiPriority w:val="99"/>
    <w:rsid w:val="009C7765"/>
    <w:pPr>
      <w:spacing w:before="120" w:after="170"/>
    </w:pPr>
  </w:style>
  <w:style w:type="paragraph" w:customStyle="1" w:styleId="TableColumnHeader">
    <w:name w:val="Table Column Header"/>
    <w:basedOn w:val="TableText"/>
    <w:uiPriority w:val="99"/>
    <w:rsid w:val="009C7765"/>
    <w:rPr>
      <w:b/>
    </w:rPr>
  </w:style>
  <w:style w:type="paragraph" w:styleId="BodyTextIndent">
    <w:name w:val="Body Text Indent"/>
    <w:basedOn w:val="Normal"/>
    <w:link w:val="BodyTextIndentChar"/>
    <w:uiPriority w:val="99"/>
    <w:rsid w:val="009C7765"/>
    <w:pPr>
      <w:spacing w:after="120"/>
      <w:ind w:left="283"/>
    </w:pPr>
  </w:style>
  <w:style w:type="character" w:customStyle="1" w:styleId="BodyTextIndentChar">
    <w:name w:val="Body Text Indent Char"/>
    <w:basedOn w:val="DefaultParagraphFont"/>
    <w:link w:val="BodyTextIndent"/>
    <w:uiPriority w:val="99"/>
    <w:semiHidden/>
    <w:rsid w:val="005B3B2C"/>
    <w:rPr>
      <w:sz w:val="20"/>
      <w:szCs w:val="20"/>
      <w:lang w:eastAsia="en-US"/>
    </w:rPr>
  </w:style>
  <w:style w:type="paragraph" w:styleId="Footer">
    <w:name w:val="footer"/>
    <w:basedOn w:val="Normal"/>
    <w:link w:val="FooterChar"/>
    <w:uiPriority w:val="99"/>
    <w:rsid w:val="00A86746"/>
    <w:pPr>
      <w:tabs>
        <w:tab w:val="center" w:pos="4153"/>
        <w:tab w:val="right" w:pos="8306"/>
      </w:tabs>
    </w:pPr>
  </w:style>
  <w:style w:type="character" w:customStyle="1" w:styleId="FooterChar">
    <w:name w:val="Footer Char"/>
    <w:basedOn w:val="DefaultParagraphFont"/>
    <w:link w:val="Footer"/>
    <w:uiPriority w:val="99"/>
    <w:rsid w:val="005B3B2C"/>
    <w:rPr>
      <w:sz w:val="20"/>
      <w:szCs w:val="20"/>
      <w:lang w:eastAsia="en-US"/>
    </w:rPr>
  </w:style>
  <w:style w:type="character" w:styleId="PageNumber">
    <w:name w:val="page number"/>
    <w:basedOn w:val="DefaultParagraphFont"/>
    <w:uiPriority w:val="99"/>
    <w:rsid w:val="00A86746"/>
    <w:rPr>
      <w:rFonts w:cs="Times New Roman"/>
    </w:rPr>
  </w:style>
  <w:style w:type="paragraph" w:styleId="Header">
    <w:name w:val="header"/>
    <w:basedOn w:val="Normal"/>
    <w:link w:val="HeaderChar"/>
    <w:uiPriority w:val="99"/>
    <w:rsid w:val="00A86746"/>
    <w:pPr>
      <w:tabs>
        <w:tab w:val="center" w:pos="4320"/>
        <w:tab w:val="right" w:pos="8640"/>
      </w:tabs>
    </w:pPr>
  </w:style>
  <w:style w:type="character" w:customStyle="1" w:styleId="HeaderChar">
    <w:name w:val="Header Char"/>
    <w:basedOn w:val="DefaultParagraphFont"/>
    <w:link w:val="Header"/>
    <w:uiPriority w:val="99"/>
    <w:semiHidden/>
    <w:rsid w:val="005B3B2C"/>
    <w:rPr>
      <w:sz w:val="20"/>
      <w:szCs w:val="20"/>
      <w:lang w:eastAsia="en-US"/>
    </w:rPr>
  </w:style>
  <w:style w:type="paragraph" w:styleId="BodyText3">
    <w:name w:val="Body Text 3"/>
    <w:basedOn w:val="Normal"/>
    <w:link w:val="BodyText3Char"/>
    <w:uiPriority w:val="99"/>
    <w:rsid w:val="008E62BA"/>
    <w:pPr>
      <w:spacing w:line="240" w:lineRule="auto"/>
      <w:jc w:val="both"/>
    </w:pPr>
    <w:rPr>
      <w:rFonts w:ascii="Univers" w:hAnsi="Univers"/>
      <w:sz w:val="24"/>
    </w:rPr>
  </w:style>
  <w:style w:type="character" w:customStyle="1" w:styleId="BodyText3Char">
    <w:name w:val="Body Text 3 Char"/>
    <w:basedOn w:val="DefaultParagraphFont"/>
    <w:link w:val="BodyText3"/>
    <w:uiPriority w:val="99"/>
    <w:semiHidden/>
    <w:rsid w:val="005B3B2C"/>
    <w:rPr>
      <w:sz w:val="16"/>
      <w:szCs w:val="16"/>
      <w:lang w:eastAsia="en-US"/>
    </w:rPr>
  </w:style>
  <w:style w:type="paragraph" w:styleId="BalloonText">
    <w:name w:val="Balloon Text"/>
    <w:basedOn w:val="Normal"/>
    <w:link w:val="BalloonTextChar"/>
    <w:uiPriority w:val="99"/>
    <w:semiHidden/>
    <w:rsid w:val="00814D83"/>
    <w:rPr>
      <w:rFonts w:ascii="Tahoma" w:hAnsi="Tahoma" w:cs="Tahoma"/>
      <w:sz w:val="16"/>
      <w:szCs w:val="16"/>
    </w:rPr>
  </w:style>
  <w:style w:type="character" w:customStyle="1" w:styleId="BalloonTextChar">
    <w:name w:val="Balloon Text Char"/>
    <w:basedOn w:val="DefaultParagraphFont"/>
    <w:link w:val="BalloonText"/>
    <w:uiPriority w:val="99"/>
    <w:semiHidden/>
    <w:rsid w:val="005B3B2C"/>
    <w:rPr>
      <w:lang w:eastAsia="en-US"/>
    </w:rPr>
  </w:style>
  <w:style w:type="paragraph" w:styleId="TOC1">
    <w:name w:val="toc 1"/>
    <w:basedOn w:val="Normal"/>
    <w:next w:val="Normal"/>
    <w:uiPriority w:val="99"/>
    <w:semiHidden/>
    <w:rsid w:val="003A385C"/>
    <w:pPr>
      <w:spacing w:before="120" w:after="240"/>
    </w:pPr>
  </w:style>
  <w:style w:type="paragraph" w:customStyle="1" w:styleId="Default">
    <w:name w:val="Default"/>
    <w:rsid w:val="00F861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015CC6"/>
    <w:pPr>
      <w:numPr>
        <w:numId w:val="3"/>
      </w:numPr>
      <w:spacing w:line="240" w:lineRule="auto"/>
      <w:contextualSpacing/>
    </w:pPr>
    <w:rPr>
      <w:rFonts w:ascii="Arial" w:hAnsi="Arial"/>
      <w:sz w:val="24"/>
      <w:szCs w:val="24"/>
      <w:lang w:eastAsia="en-GB"/>
    </w:rPr>
  </w:style>
  <w:style w:type="character" w:customStyle="1" w:styleId="ListParagraphChar">
    <w:name w:val="List Paragraph Char"/>
    <w:basedOn w:val="DefaultParagraphFont"/>
    <w:link w:val="ListParagraph"/>
    <w:uiPriority w:val="34"/>
    <w:locked/>
    <w:rsid w:val="00015CC6"/>
    <w:rPr>
      <w:rFonts w:ascii="Arial" w:hAnsi="Arial"/>
      <w:sz w:val="24"/>
      <w:szCs w:val="24"/>
    </w:rPr>
  </w:style>
  <w:style w:type="character" w:styleId="CommentReference">
    <w:name w:val="annotation reference"/>
    <w:basedOn w:val="DefaultParagraphFont"/>
    <w:uiPriority w:val="99"/>
    <w:semiHidden/>
    <w:rsid w:val="00BF4E76"/>
    <w:rPr>
      <w:rFonts w:cs="Times New Roman"/>
      <w:sz w:val="16"/>
      <w:szCs w:val="16"/>
    </w:rPr>
  </w:style>
  <w:style w:type="paragraph" w:styleId="CommentText">
    <w:name w:val="annotation text"/>
    <w:basedOn w:val="Normal"/>
    <w:link w:val="CommentTextChar"/>
    <w:uiPriority w:val="99"/>
    <w:semiHidden/>
    <w:rsid w:val="00BF4E76"/>
  </w:style>
  <w:style w:type="character" w:customStyle="1" w:styleId="CommentTextChar">
    <w:name w:val="Comment Text Char"/>
    <w:basedOn w:val="DefaultParagraphFont"/>
    <w:link w:val="CommentText"/>
    <w:uiPriority w:val="99"/>
    <w:semiHidden/>
    <w:rsid w:val="005B3B2C"/>
    <w:rPr>
      <w:sz w:val="20"/>
      <w:szCs w:val="20"/>
      <w:lang w:eastAsia="en-US"/>
    </w:rPr>
  </w:style>
  <w:style w:type="paragraph" w:styleId="CommentSubject">
    <w:name w:val="annotation subject"/>
    <w:basedOn w:val="CommentText"/>
    <w:next w:val="CommentText"/>
    <w:link w:val="CommentSubjectChar"/>
    <w:uiPriority w:val="99"/>
    <w:semiHidden/>
    <w:rsid w:val="00BF4E76"/>
    <w:rPr>
      <w:b/>
      <w:bCs/>
    </w:rPr>
  </w:style>
  <w:style w:type="character" w:customStyle="1" w:styleId="CommentSubjectChar">
    <w:name w:val="Comment Subject Char"/>
    <w:basedOn w:val="CommentTextChar"/>
    <w:link w:val="CommentSubject"/>
    <w:uiPriority w:val="99"/>
    <w:semiHidden/>
    <w:rsid w:val="005B3B2C"/>
    <w:rPr>
      <w:b/>
      <w:bCs/>
      <w:sz w:val="20"/>
      <w:szCs w:val="20"/>
      <w:lang w:eastAsia="en-US"/>
    </w:rPr>
  </w:style>
  <w:style w:type="table" w:styleId="TableGrid">
    <w:name w:val="Table Grid"/>
    <w:basedOn w:val="TableNormal"/>
    <w:uiPriority w:val="59"/>
    <w:rsid w:val="000F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6E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E41F-50EE-46A7-A4F0-17930429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3023</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Annual report - template</vt:lpstr>
    </vt:vector>
  </TitlesOfParts>
  <Company>Lancashire County Council</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template</dc:title>
  <dc:creator>Paul Cafferkey</dc:creator>
  <cp:lastModifiedBy>Gorman, Dave</cp:lastModifiedBy>
  <cp:revision>11</cp:revision>
  <cp:lastPrinted>2014-05-20T12:36:00Z</cp:lastPrinted>
  <dcterms:created xsi:type="dcterms:W3CDTF">2016-05-11T08:43:00Z</dcterms:created>
  <dcterms:modified xsi:type="dcterms:W3CDTF">2016-05-23T08:35:00Z</dcterms:modified>
</cp:coreProperties>
</file>